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17" w:rsidRPr="00BE7249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before="120" w:after="60"/>
        <w:ind w:left="5041" w:hanging="5041"/>
        <w:jc w:val="both"/>
        <w:rPr>
          <w:i/>
          <w:lang w:eastAsia="ru-RU"/>
        </w:rPr>
      </w:pPr>
    </w:p>
    <w:p w:rsidR="00830BE0" w:rsidRPr="00CF58B3" w:rsidRDefault="00830BE0" w:rsidP="00BA255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before="120" w:after="60"/>
        <w:ind w:left="5041" w:hanging="5041"/>
        <w:jc w:val="center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>ООО КБ «РостФинанс»</w:t>
      </w:r>
    </w:p>
    <w:p w:rsidR="00830BE0" w:rsidRPr="00CF58B3" w:rsidRDefault="00830BE0" w:rsidP="00830BE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before="120" w:after="60"/>
        <w:ind w:left="5041" w:hanging="5041"/>
        <w:jc w:val="both"/>
        <w:rPr>
          <w:b/>
          <w:sz w:val="24"/>
          <w:szCs w:val="24"/>
          <w:lang w:eastAsia="ru-RU"/>
        </w:rPr>
      </w:pPr>
    </w:p>
    <w:p w:rsidR="00172D2B" w:rsidRPr="00CF58B3" w:rsidRDefault="00172D2B" w:rsidP="00172D2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>УТВЕРЖДЕНО:</w:t>
      </w:r>
    </w:p>
    <w:p w:rsidR="00172D2B" w:rsidRPr="00CF58B3" w:rsidRDefault="00172D2B" w:rsidP="00172D2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 xml:space="preserve">Правлением </w:t>
      </w:r>
    </w:p>
    <w:p w:rsidR="00172D2B" w:rsidRPr="00CF58B3" w:rsidRDefault="00172D2B" w:rsidP="00172D2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>ООО КБ «РостФинанс»</w:t>
      </w:r>
    </w:p>
    <w:p w:rsidR="00172D2B" w:rsidRPr="00CF58B3" w:rsidRDefault="00172D2B" w:rsidP="00172D2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>Протокол №</w:t>
      </w:r>
      <w:r w:rsidR="00B45500">
        <w:rPr>
          <w:b/>
          <w:sz w:val="22"/>
          <w:szCs w:val="22"/>
        </w:rPr>
        <w:t>37</w:t>
      </w:r>
      <w:r w:rsidRPr="00CF58B3">
        <w:rPr>
          <w:b/>
          <w:sz w:val="22"/>
          <w:szCs w:val="22"/>
        </w:rPr>
        <w:t xml:space="preserve"> от «</w:t>
      </w:r>
      <w:r w:rsidR="00B45500">
        <w:rPr>
          <w:b/>
          <w:sz w:val="22"/>
          <w:szCs w:val="22"/>
        </w:rPr>
        <w:t>16</w:t>
      </w:r>
      <w:r w:rsidR="001F7977">
        <w:rPr>
          <w:b/>
          <w:sz w:val="22"/>
          <w:szCs w:val="22"/>
        </w:rPr>
        <w:t xml:space="preserve">» </w:t>
      </w:r>
      <w:r w:rsidR="00B45500">
        <w:rPr>
          <w:b/>
          <w:sz w:val="22"/>
          <w:szCs w:val="22"/>
        </w:rPr>
        <w:t>мая</w:t>
      </w:r>
      <w:r w:rsidRPr="00CF58B3">
        <w:rPr>
          <w:b/>
          <w:sz w:val="22"/>
          <w:szCs w:val="22"/>
        </w:rPr>
        <w:t xml:space="preserve"> 202</w:t>
      </w:r>
      <w:r w:rsidR="001F7977">
        <w:rPr>
          <w:b/>
          <w:sz w:val="22"/>
          <w:szCs w:val="22"/>
        </w:rPr>
        <w:t>2</w:t>
      </w:r>
      <w:r w:rsidRPr="00CF58B3">
        <w:rPr>
          <w:b/>
          <w:sz w:val="22"/>
          <w:szCs w:val="22"/>
        </w:rPr>
        <w:t xml:space="preserve"> г.</w:t>
      </w:r>
    </w:p>
    <w:p w:rsidR="00172D2B" w:rsidRPr="00CF58B3" w:rsidRDefault="00172D2B" w:rsidP="00172D2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>ВВЕДЕНО:</w:t>
      </w:r>
    </w:p>
    <w:p w:rsidR="00BF5624" w:rsidRPr="00CF58B3" w:rsidRDefault="00172D2B" w:rsidP="00BF5624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  <w:r w:rsidRPr="00CF58B3">
        <w:rPr>
          <w:b/>
          <w:sz w:val="22"/>
          <w:szCs w:val="22"/>
        </w:rPr>
        <w:t xml:space="preserve">Приказом </w:t>
      </w:r>
      <w:r w:rsidR="001F7977" w:rsidRPr="00CF58B3">
        <w:rPr>
          <w:b/>
          <w:sz w:val="22"/>
          <w:szCs w:val="22"/>
        </w:rPr>
        <w:t>№</w:t>
      </w:r>
      <w:r w:rsidR="00B45500">
        <w:rPr>
          <w:b/>
          <w:sz w:val="22"/>
          <w:szCs w:val="22"/>
        </w:rPr>
        <w:t>661</w:t>
      </w:r>
      <w:r w:rsidR="001F7977" w:rsidRPr="00CF58B3">
        <w:rPr>
          <w:b/>
          <w:sz w:val="22"/>
          <w:szCs w:val="22"/>
        </w:rPr>
        <w:t xml:space="preserve"> от «</w:t>
      </w:r>
      <w:r w:rsidR="00B45500">
        <w:rPr>
          <w:b/>
          <w:sz w:val="22"/>
          <w:szCs w:val="22"/>
        </w:rPr>
        <w:t>16</w:t>
      </w:r>
      <w:r w:rsidR="001F7977">
        <w:rPr>
          <w:b/>
          <w:sz w:val="22"/>
          <w:szCs w:val="22"/>
        </w:rPr>
        <w:t xml:space="preserve">» </w:t>
      </w:r>
      <w:r w:rsidR="00B45500">
        <w:rPr>
          <w:b/>
          <w:sz w:val="22"/>
          <w:szCs w:val="22"/>
        </w:rPr>
        <w:t>ма</w:t>
      </w:r>
      <w:r w:rsidR="001F7977">
        <w:rPr>
          <w:b/>
          <w:sz w:val="22"/>
          <w:szCs w:val="22"/>
        </w:rPr>
        <w:t>я</w:t>
      </w:r>
      <w:r w:rsidR="001F7977" w:rsidRPr="00CF58B3">
        <w:rPr>
          <w:b/>
          <w:sz w:val="22"/>
          <w:szCs w:val="22"/>
        </w:rPr>
        <w:t xml:space="preserve"> 202</w:t>
      </w:r>
      <w:r w:rsidR="001F7977">
        <w:rPr>
          <w:b/>
          <w:sz w:val="22"/>
          <w:szCs w:val="22"/>
        </w:rPr>
        <w:t>2</w:t>
      </w:r>
      <w:r w:rsidR="001F7977" w:rsidRPr="00CF58B3">
        <w:rPr>
          <w:b/>
          <w:sz w:val="22"/>
          <w:szCs w:val="22"/>
        </w:rPr>
        <w:t xml:space="preserve"> г.</w:t>
      </w:r>
    </w:p>
    <w:p w:rsidR="009C05E9" w:rsidRPr="00CF58B3" w:rsidRDefault="009C05E9" w:rsidP="009C05E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</w:p>
    <w:p w:rsidR="00E4270B" w:rsidRPr="00CF58B3" w:rsidRDefault="00E4270B" w:rsidP="00E4270B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pacing w:before="120" w:after="60"/>
        <w:ind w:left="5041" w:hanging="5041"/>
        <w:jc w:val="right"/>
        <w:rPr>
          <w:b/>
          <w:sz w:val="22"/>
          <w:szCs w:val="22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line="360" w:lineRule="auto"/>
        <w:jc w:val="center"/>
        <w:rPr>
          <w:b/>
          <w:sz w:val="24"/>
          <w:lang w:eastAsia="ru-RU"/>
        </w:rPr>
      </w:pPr>
      <w:r w:rsidRPr="00CF58B3">
        <w:rPr>
          <w:b/>
          <w:sz w:val="24"/>
          <w:lang w:eastAsia="ru-RU"/>
        </w:rPr>
        <w:t>Правила</w:t>
      </w:r>
    </w:p>
    <w:p w:rsidR="00486417" w:rsidRPr="00CF58B3" w:rsidRDefault="00DD5F79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line="360" w:lineRule="auto"/>
        <w:jc w:val="center"/>
        <w:rPr>
          <w:b/>
          <w:sz w:val="24"/>
          <w:lang w:eastAsia="ru-RU"/>
        </w:rPr>
      </w:pPr>
      <w:r w:rsidRPr="00CF58B3">
        <w:rPr>
          <w:b/>
          <w:sz w:val="24"/>
          <w:lang w:eastAsia="ru-RU"/>
        </w:rPr>
        <w:t>Программы лояльности «</w:t>
      </w:r>
      <w:r w:rsidR="00307E5A" w:rsidRPr="00CF58B3">
        <w:rPr>
          <w:b/>
          <w:sz w:val="24"/>
          <w:lang w:eastAsia="ru-RU"/>
        </w:rPr>
        <w:t>Бонусы для всех</w:t>
      </w:r>
      <w:r w:rsidRPr="00CF58B3">
        <w:rPr>
          <w:b/>
          <w:sz w:val="24"/>
          <w:lang w:eastAsia="ru-RU"/>
        </w:rPr>
        <w:t xml:space="preserve">» </w:t>
      </w: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line="360" w:lineRule="auto"/>
        <w:jc w:val="center"/>
        <w:rPr>
          <w:b/>
          <w:sz w:val="24"/>
          <w:lang w:eastAsia="ru-RU"/>
        </w:rPr>
      </w:pPr>
      <w:r w:rsidRPr="00CF58B3">
        <w:rPr>
          <w:b/>
          <w:sz w:val="24"/>
          <w:lang w:eastAsia="ru-RU"/>
        </w:rPr>
        <w:t>ООО КБ «РостФинанс»</w:t>
      </w: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spacing w:line="360" w:lineRule="auto"/>
        <w:jc w:val="center"/>
        <w:rPr>
          <w:b/>
          <w:sz w:val="24"/>
          <w:lang w:eastAsia="ru-RU"/>
        </w:rPr>
      </w:pPr>
      <w:r w:rsidRPr="00CF58B3">
        <w:rPr>
          <w:b/>
          <w:sz w:val="24"/>
          <w:lang w:eastAsia="ru-RU"/>
        </w:rPr>
        <w:t>(</w:t>
      </w:r>
      <w:r w:rsidR="007D6D13">
        <w:rPr>
          <w:b/>
          <w:sz w:val="24"/>
          <w:lang w:eastAsia="ru-RU"/>
        </w:rPr>
        <w:t xml:space="preserve">введено с </w:t>
      </w:r>
      <w:r w:rsidR="007D6D13" w:rsidRPr="007D6D13">
        <w:rPr>
          <w:b/>
          <w:sz w:val="24"/>
          <w:lang w:eastAsia="ru-RU"/>
        </w:rPr>
        <w:t>01</w:t>
      </w:r>
      <w:r w:rsidR="00BF5624">
        <w:rPr>
          <w:b/>
          <w:sz w:val="24"/>
          <w:lang w:eastAsia="ru-RU"/>
        </w:rPr>
        <w:t>.</w:t>
      </w:r>
      <w:r w:rsidR="001F7977">
        <w:rPr>
          <w:b/>
          <w:sz w:val="24"/>
          <w:lang w:eastAsia="ru-RU"/>
        </w:rPr>
        <w:t>0</w:t>
      </w:r>
      <w:r w:rsidR="007D6D13" w:rsidRPr="00B45500">
        <w:rPr>
          <w:b/>
          <w:sz w:val="24"/>
          <w:lang w:eastAsia="ru-RU"/>
        </w:rPr>
        <w:t>6</w:t>
      </w:r>
      <w:r w:rsidRPr="00CF58B3">
        <w:rPr>
          <w:b/>
          <w:sz w:val="24"/>
          <w:lang w:eastAsia="ru-RU"/>
        </w:rPr>
        <w:t>.202</w:t>
      </w:r>
      <w:r w:rsidR="001F7977">
        <w:rPr>
          <w:b/>
          <w:sz w:val="24"/>
          <w:lang w:eastAsia="ru-RU"/>
        </w:rPr>
        <w:t>2</w:t>
      </w:r>
      <w:r w:rsidRPr="00CF58B3">
        <w:rPr>
          <w:b/>
          <w:sz w:val="24"/>
          <w:lang w:eastAsia="ru-RU"/>
        </w:rPr>
        <w:t xml:space="preserve"> г)</w:t>
      </w: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4270B" w:rsidRPr="00CF58B3" w:rsidRDefault="00E4270B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4270B" w:rsidRPr="00CF58B3" w:rsidRDefault="00E4270B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4270B" w:rsidRPr="00CF58B3" w:rsidRDefault="00E4270B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4270B" w:rsidRPr="00CF58B3" w:rsidRDefault="00E4270B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4270B" w:rsidRPr="00CF58B3" w:rsidRDefault="00E4270B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257D81" w:rsidRPr="00CF58B3" w:rsidRDefault="00257D81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>г. Ростов-на-Дону</w:t>
      </w:r>
    </w:p>
    <w:p w:rsidR="00486417" w:rsidRPr="00CF58B3" w:rsidRDefault="00B056B9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>20</w:t>
      </w:r>
      <w:r w:rsidR="001F7977">
        <w:rPr>
          <w:b/>
          <w:sz w:val="24"/>
          <w:szCs w:val="24"/>
          <w:lang w:eastAsia="ru-RU"/>
        </w:rPr>
        <w:t>22</w:t>
      </w:r>
      <w:r w:rsidR="00486417" w:rsidRPr="00CF58B3">
        <w:rPr>
          <w:b/>
          <w:sz w:val="24"/>
          <w:szCs w:val="24"/>
          <w:lang w:eastAsia="ru-RU"/>
        </w:rPr>
        <w:t xml:space="preserve"> год</w:t>
      </w:r>
    </w:p>
    <w:p w:rsidR="00486417" w:rsidRPr="00CF58B3" w:rsidRDefault="00486417" w:rsidP="0048641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suppressAutoHyphens w:val="0"/>
        <w:jc w:val="center"/>
        <w:rPr>
          <w:b/>
          <w:sz w:val="24"/>
          <w:szCs w:val="24"/>
          <w:lang w:eastAsia="ru-RU"/>
        </w:rPr>
      </w:pPr>
    </w:p>
    <w:p w:rsidR="00DF721D" w:rsidRPr="00CF58B3" w:rsidRDefault="00DF721D">
      <w:pPr>
        <w:pStyle w:val="14"/>
        <w:rPr>
          <w:b/>
        </w:rPr>
        <w:sectPr w:rsidR="00DF721D" w:rsidRPr="00CF58B3" w:rsidSect="00B808CC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440" w:right="1080" w:bottom="1440" w:left="1080" w:header="720" w:footer="1134" w:gutter="0"/>
          <w:cols w:space="720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ar-SA"/>
        </w:rPr>
        <w:id w:val="-412095172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:rsidR="006C2E81" w:rsidRPr="00CF58B3" w:rsidRDefault="006C2E81" w:rsidP="00DA4398">
          <w:pPr>
            <w:pStyle w:val="afd"/>
            <w:shd w:val="clear" w:color="auto" w:fill="006666"/>
            <w:jc w:val="center"/>
            <w:rPr>
              <w:rFonts w:ascii="Times New Roman" w:hAnsi="Times New Roman" w:cs="Times New Roman"/>
              <w:b/>
              <w:color w:val="FFFFFF" w:themeColor="background1"/>
              <w:sz w:val="28"/>
              <w:szCs w:val="28"/>
            </w:rPr>
          </w:pPr>
          <w:r w:rsidRPr="00CF58B3">
            <w:rPr>
              <w:rFonts w:ascii="Times New Roman" w:hAnsi="Times New Roman" w:cs="Times New Roman"/>
              <w:b/>
              <w:color w:val="FFFFFF" w:themeColor="background1"/>
              <w:sz w:val="28"/>
              <w:szCs w:val="28"/>
            </w:rPr>
            <w:t>О</w:t>
          </w:r>
          <w:r w:rsidR="008F5751" w:rsidRPr="00CF58B3">
            <w:rPr>
              <w:rFonts w:ascii="Times New Roman" w:hAnsi="Times New Roman" w:cs="Times New Roman"/>
              <w:b/>
              <w:color w:val="FFFFFF" w:themeColor="background1"/>
              <w:sz w:val="28"/>
              <w:szCs w:val="28"/>
            </w:rPr>
            <w:t>ГЛАВЛЕНИЕ</w:t>
          </w:r>
        </w:p>
        <w:p w:rsidR="000C3205" w:rsidRPr="00CF58B3" w:rsidRDefault="006C2E8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r w:rsidRPr="00CF58B3">
            <w:rPr>
              <w:sz w:val="24"/>
              <w:szCs w:val="24"/>
            </w:rPr>
            <w:fldChar w:fldCharType="begin"/>
          </w:r>
          <w:r w:rsidRPr="00CF58B3">
            <w:rPr>
              <w:sz w:val="24"/>
              <w:szCs w:val="24"/>
            </w:rPr>
            <w:instrText xml:space="preserve"> TOC \o "1-3" \h \z \u </w:instrText>
          </w:r>
          <w:r w:rsidRPr="00CF58B3">
            <w:rPr>
              <w:sz w:val="24"/>
              <w:szCs w:val="24"/>
            </w:rPr>
            <w:fldChar w:fldCharType="separate"/>
          </w:r>
          <w:hyperlink w:anchor="_Toc35128088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1.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Общие положения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_Toc35128088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3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89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2.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Порядок оформления заявки на карту с Программой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_Toc35128089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3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0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3.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Общие положения Программы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_Toc35128090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4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1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4.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Виды Бонусов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_Toc35128091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4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2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5.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Порядок начисления и списания Бонусов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_Toc35128092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4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3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6.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Уведомление Клиента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_Toc35128093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6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4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7.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 xml:space="preserve">Порядок использования </w:t>
            </w:r>
            <w:r w:rsidR="000C3205" w:rsidRPr="00CF58B3">
              <w:rPr>
                <w:rStyle w:val="a4"/>
                <w:b/>
                <w:noProof/>
                <w:sz w:val="24"/>
                <w:szCs w:val="24"/>
                <w:lang w:eastAsia="ru-RU"/>
              </w:rPr>
              <w:t>Бонусов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_Toc35128094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6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ru-RU"/>
            </w:rPr>
          </w:pPr>
          <w:hyperlink w:anchor="_Toc35128095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8.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Прочие условия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_Toc35128095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6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3205" w:rsidRPr="00CF58B3" w:rsidRDefault="006B3CA1">
          <w:pPr>
            <w:pStyle w:val="14"/>
            <w:tabs>
              <w:tab w:val="left" w:pos="39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35128096" w:history="1"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9.</w:t>
            </w:r>
            <w:r w:rsidR="000C3205" w:rsidRPr="00CF58B3">
              <w:rPr>
                <w:rFonts w:asciiTheme="minorHAnsi" w:eastAsiaTheme="minorEastAsia" w:hAnsiTheme="minorHAnsi" w:cstheme="minorBidi"/>
                <w:bCs w:val="0"/>
                <w:noProof/>
                <w:sz w:val="24"/>
                <w:szCs w:val="24"/>
                <w:lang w:eastAsia="ru-RU"/>
              </w:rPr>
              <w:tab/>
            </w:r>
            <w:r w:rsidR="000C3205" w:rsidRPr="00CF58B3">
              <w:rPr>
                <w:rStyle w:val="a4"/>
                <w:b/>
                <w:noProof/>
                <w:sz w:val="24"/>
                <w:szCs w:val="24"/>
              </w:rPr>
              <w:t>Приложения</w:t>
            </w:r>
            <w:r w:rsidR="000C3205" w:rsidRPr="00CF58B3">
              <w:rPr>
                <w:noProof/>
                <w:webHidden/>
                <w:sz w:val="24"/>
                <w:szCs w:val="24"/>
              </w:rPr>
              <w:tab/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begin"/>
            </w:r>
            <w:r w:rsidR="000C3205" w:rsidRPr="00CF58B3">
              <w:rPr>
                <w:noProof/>
                <w:webHidden/>
                <w:sz w:val="24"/>
                <w:szCs w:val="24"/>
              </w:rPr>
              <w:instrText xml:space="preserve"> PAGEREF _Toc35128096 \h </w:instrText>
            </w:r>
            <w:r w:rsidR="000C3205" w:rsidRPr="00CF58B3">
              <w:rPr>
                <w:noProof/>
                <w:webHidden/>
                <w:sz w:val="24"/>
                <w:szCs w:val="24"/>
              </w:rPr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9F6">
              <w:rPr>
                <w:noProof/>
                <w:webHidden/>
                <w:sz w:val="24"/>
                <w:szCs w:val="24"/>
              </w:rPr>
              <w:t>7</w:t>
            </w:r>
            <w:r w:rsidR="000C3205" w:rsidRPr="00CF58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C2E81" w:rsidRPr="00CF58B3" w:rsidRDefault="006C2E81">
          <w:pPr>
            <w:rPr>
              <w:sz w:val="24"/>
              <w:szCs w:val="24"/>
            </w:rPr>
          </w:pPr>
          <w:r w:rsidRPr="00CF58B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702C0E" w:rsidRPr="00CF58B3" w:rsidRDefault="00702C0E">
      <w:pPr>
        <w:tabs>
          <w:tab w:val="left" w:pos="0"/>
          <w:tab w:val="right" w:leader="dot" w:pos="9918"/>
          <w:tab w:val="right" w:leader="dot" w:pos="9921"/>
        </w:tabs>
        <w:ind w:left="567" w:firstLine="400"/>
        <w:jc w:val="both"/>
        <w:rPr>
          <w:b/>
        </w:rPr>
      </w:pPr>
    </w:p>
    <w:p w:rsidR="00702C0E" w:rsidRPr="00CF58B3" w:rsidRDefault="00702C0E" w:rsidP="00702C0E"/>
    <w:p w:rsidR="00702C0E" w:rsidRPr="00CF58B3" w:rsidRDefault="00702C0E" w:rsidP="00702C0E"/>
    <w:p w:rsidR="00702C0E" w:rsidRPr="00CF58B3" w:rsidRDefault="00932415" w:rsidP="008F5751">
      <w:pPr>
        <w:tabs>
          <w:tab w:val="left" w:pos="1589"/>
          <w:tab w:val="left" w:pos="2085"/>
        </w:tabs>
      </w:pPr>
      <w:r w:rsidRPr="00CF58B3">
        <w:tab/>
      </w:r>
      <w:r w:rsidR="008F5751" w:rsidRPr="00CF58B3">
        <w:tab/>
      </w:r>
    </w:p>
    <w:p w:rsidR="00702C0E" w:rsidRPr="00CF58B3" w:rsidRDefault="00702C0E" w:rsidP="00702C0E"/>
    <w:p w:rsidR="00A504A9" w:rsidRPr="00CF58B3" w:rsidRDefault="00A504A9" w:rsidP="00702C0E"/>
    <w:p w:rsidR="00A504A9" w:rsidRPr="00CF58B3" w:rsidRDefault="00A504A9" w:rsidP="00702C0E"/>
    <w:p w:rsidR="00702C0E" w:rsidRPr="00CF58B3" w:rsidRDefault="00C8123B" w:rsidP="00F903C0">
      <w:pPr>
        <w:pStyle w:val="1"/>
        <w:pageBreakBefore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0" w:name="_Toc35128088"/>
      <w:r w:rsidRPr="00CF58B3">
        <w:rPr>
          <w:b/>
          <w:color w:val="FFFFFF" w:themeColor="background1"/>
          <w:szCs w:val="24"/>
        </w:rPr>
        <w:lastRenderedPageBreak/>
        <w:t>Общие положения</w:t>
      </w:r>
      <w:bookmarkEnd w:id="0"/>
    </w:p>
    <w:p w:rsidR="00DD5F79" w:rsidRPr="00CF58B3" w:rsidRDefault="00DD5F79" w:rsidP="0027468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_RefHeading__136_1706477218"/>
      <w:bookmarkEnd w:id="1"/>
      <w:r w:rsidRPr="00CF58B3">
        <w:rPr>
          <w:sz w:val="24"/>
          <w:szCs w:val="24"/>
        </w:rPr>
        <w:t>Программа лояльности «</w:t>
      </w:r>
      <w:r w:rsidR="00F41710" w:rsidRPr="00CF58B3">
        <w:rPr>
          <w:sz w:val="24"/>
          <w:szCs w:val="24"/>
        </w:rPr>
        <w:t>Мильный рост</w:t>
      </w:r>
      <w:r w:rsidRPr="00CF58B3">
        <w:rPr>
          <w:sz w:val="24"/>
          <w:szCs w:val="24"/>
        </w:rPr>
        <w:t xml:space="preserve">» (далее – «Программа») ООО КБ «РостФинанс» ориентирована на физических лиц, обладающих желанием получения бонусов за использование для оплаты своей банковской карты ООО КБ «РостФинанс» (далее «Банк»). </w:t>
      </w:r>
      <w:r w:rsidR="00307E5A" w:rsidRPr="00CF58B3">
        <w:rPr>
          <w:sz w:val="24"/>
          <w:szCs w:val="24"/>
        </w:rPr>
        <w:t>Программа «Бонусы для всех» является программой, имеющей ранее название «Мильный рост» и все условия по данной программе, распространяются и на участников программы лояльности «Мильный рост».</w:t>
      </w:r>
    </w:p>
    <w:p w:rsidR="00DD5F79" w:rsidRPr="00CF58B3" w:rsidRDefault="00DD5F79" w:rsidP="00274687">
      <w:pPr>
        <w:pStyle w:val="ac"/>
        <w:ind w:firstLine="709"/>
        <w:rPr>
          <w:color w:val="000000"/>
          <w:szCs w:val="24"/>
          <w:lang w:eastAsia="ru-RU"/>
        </w:rPr>
      </w:pPr>
      <w:r w:rsidRPr="00CF58B3">
        <w:rPr>
          <w:szCs w:val="24"/>
        </w:rPr>
        <w:t>Если иное не указано в настоящей Программе, то все используемые термины и</w:t>
      </w:r>
      <w:r w:rsidRPr="00CF58B3">
        <w:rPr>
          <w:szCs w:val="24"/>
          <w:lang w:eastAsia="ru-RU"/>
        </w:rPr>
        <w:t xml:space="preserve"> определения используются в смысле, определенном </w:t>
      </w:r>
      <w:r w:rsidR="00560E0F" w:rsidRPr="00CF58B3">
        <w:rPr>
          <w:szCs w:val="24"/>
          <w:lang w:eastAsia="ru-RU"/>
        </w:rPr>
        <w:t xml:space="preserve">Офертой (Договором на получение и использование банковских карт </w:t>
      </w:r>
      <w:proofErr w:type="spellStart"/>
      <w:r w:rsidR="00560E0F" w:rsidRPr="00CF58B3">
        <w:rPr>
          <w:szCs w:val="24"/>
          <w:lang w:eastAsia="ru-RU"/>
        </w:rPr>
        <w:t>MasterCard</w:t>
      </w:r>
      <w:proofErr w:type="spellEnd"/>
      <w:r w:rsidR="00C12ABC" w:rsidRPr="00F903C0">
        <w:rPr>
          <w:szCs w:val="24"/>
          <w:lang w:eastAsia="ru-RU"/>
        </w:rPr>
        <w:t>/</w:t>
      </w:r>
      <w:r w:rsidR="00C12ABC">
        <w:rPr>
          <w:szCs w:val="24"/>
          <w:lang w:eastAsia="ru-RU"/>
        </w:rPr>
        <w:t>МИР</w:t>
      </w:r>
      <w:r w:rsidR="00560E0F" w:rsidRPr="00CF58B3">
        <w:rPr>
          <w:szCs w:val="24"/>
          <w:lang w:eastAsia="ru-RU"/>
        </w:rPr>
        <w:t xml:space="preserve"> ООО КБ «</w:t>
      </w:r>
      <w:proofErr w:type="spellStart"/>
      <w:r w:rsidR="00560E0F" w:rsidRPr="00CF58B3">
        <w:rPr>
          <w:szCs w:val="24"/>
          <w:lang w:eastAsia="ru-RU"/>
        </w:rPr>
        <w:t>РостФинанс</w:t>
      </w:r>
      <w:proofErr w:type="spellEnd"/>
      <w:r w:rsidR="00560E0F" w:rsidRPr="00CF58B3">
        <w:rPr>
          <w:szCs w:val="24"/>
          <w:lang w:eastAsia="ru-RU"/>
        </w:rPr>
        <w:t>» и открытия специального карточного счета)</w:t>
      </w:r>
      <w:r w:rsidR="00560E0F" w:rsidRPr="00CF58B3">
        <w:rPr>
          <w:b/>
          <w:szCs w:val="24"/>
        </w:rPr>
        <w:t xml:space="preserve"> </w:t>
      </w:r>
      <w:r w:rsidRPr="00CF58B3">
        <w:rPr>
          <w:szCs w:val="24"/>
          <w:lang w:eastAsia="ru-RU"/>
        </w:rPr>
        <w:t xml:space="preserve">(далее – </w:t>
      </w:r>
      <w:r w:rsidR="00560E0F" w:rsidRPr="00CF58B3">
        <w:rPr>
          <w:szCs w:val="24"/>
          <w:lang w:eastAsia="ru-RU"/>
        </w:rPr>
        <w:t>«Договором</w:t>
      </w:r>
      <w:r w:rsidR="00FB0F68" w:rsidRPr="00CF58B3">
        <w:rPr>
          <w:szCs w:val="24"/>
          <w:lang w:eastAsia="ru-RU"/>
        </w:rPr>
        <w:t xml:space="preserve"> на выпуск карты</w:t>
      </w:r>
      <w:r w:rsidR="00560E0F" w:rsidRPr="00CF58B3">
        <w:rPr>
          <w:color w:val="000000"/>
          <w:szCs w:val="24"/>
          <w:lang w:eastAsia="ru-RU"/>
        </w:rPr>
        <w:t>»</w:t>
      </w:r>
      <w:r w:rsidRPr="00CF58B3">
        <w:rPr>
          <w:color w:val="000000"/>
          <w:szCs w:val="24"/>
          <w:lang w:eastAsia="ru-RU"/>
        </w:rPr>
        <w:t xml:space="preserve">). </w:t>
      </w:r>
    </w:p>
    <w:p w:rsidR="00DD5F79" w:rsidRPr="00CF58B3" w:rsidRDefault="00DD5F79" w:rsidP="00274687">
      <w:pPr>
        <w:ind w:firstLine="709"/>
        <w:jc w:val="both"/>
        <w:rPr>
          <w:sz w:val="24"/>
          <w:szCs w:val="24"/>
        </w:rPr>
      </w:pPr>
      <w:r w:rsidRPr="00CF58B3">
        <w:rPr>
          <w:color w:val="000000"/>
          <w:sz w:val="24"/>
          <w:szCs w:val="24"/>
          <w:lang w:eastAsia="ru-RU"/>
        </w:rPr>
        <w:t>Изложенный ниже текст настоящей Программы является адресованным физическим лицам официальным публичным предложением Банка заключить договор участия физического лица в настоящей Программе в соответствии с п. 2 ст. 437 Гражданского кодекса Российской Федерации (далее – Оферта). Договор считается заключенным и приобретает силу с момента совершения физическим лицом действий, предусмотренных в настоящей Оферте и означающих безоговорочное принятие физическим лицом всех условий настоящей Оферты без каких-либо изъятий или ограничений на условиях присоединения.</w:t>
      </w:r>
    </w:p>
    <w:p w:rsidR="00560E0F" w:rsidRPr="00CF58B3" w:rsidRDefault="00560E0F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2" w:name="_Toc35128089"/>
      <w:r w:rsidRPr="00CF58B3">
        <w:rPr>
          <w:b/>
          <w:color w:val="FFFFFF" w:themeColor="background1"/>
          <w:szCs w:val="24"/>
        </w:rPr>
        <w:t>Порядок оформления заявки на карту с Программой</w:t>
      </w:r>
      <w:bookmarkEnd w:id="2"/>
      <w:r w:rsidRPr="00CF58B3">
        <w:rPr>
          <w:b/>
          <w:color w:val="FFFFFF" w:themeColor="background1"/>
          <w:szCs w:val="24"/>
        </w:rPr>
        <w:t xml:space="preserve"> </w:t>
      </w:r>
    </w:p>
    <w:p w:rsidR="00560E0F" w:rsidRPr="00CF58B3" w:rsidRDefault="00560E0F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Оформление банковской карты с настоящей Программой (далее – Карта) осуществляется через все каналы обслуживания, используемые Банком, которые включают, но не ограничиваются, следующими каналами: </w:t>
      </w:r>
    </w:p>
    <w:p w:rsidR="00560E0F" w:rsidRPr="00CF58B3" w:rsidRDefault="002014C9" w:rsidP="00E37A7F">
      <w:pPr>
        <w:pStyle w:val="afc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47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>сеть и</w:t>
      </w:r>
      <w:r w:rsidR="00560E0F" w:rsidRPr="00CF58B3">
        <w:rPr>
          <w:color w:val="000000"/>
          <w:sz w:val="24"/>
          <w:szCs w:val="24"/>
          <w:lang w:eastAsia="ru-RU"/>
        </w:rPr>
        <w:t xml:space="preserve">нтернет; </w:t>
      </w:r>
    </w:p>
    <w:p w:rsidR="00560E0F" w:rsidRPr="00CF58B3" w:rsidRDefault="00560E0F" w:rsidP="00E37A7F">
      <w:pPr>
        <w:pStyle w:val="afc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47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партнеры; </w:t>
      </w:r>
    </w:p>
    <w:p w:rsidR="00560E0F" w:rsidRPr="00CF58B3" w:rsidRDefault="00560E0F" w:rsidP="00E37A7F">
      <w:pPr>
        <w:pStyle w:val="afc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47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представители Банка; </w:t>
      </w:r>
    </w:p>
    <w:p w:rsidR="00560E0F" w:rsidRPr="00CF58B3" w:rsidRDefault="00560E0F" w:rsidP="00E37A7F">
      <w:pPr>
        <w:pStyle w:val="afc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47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>прямые рассылки</w:t>
      </w:r>
      <w:r w:rsidR="002014C9" w:rsidRPr="00CF58B3">
        <w:rPr>
          <w:color w:val="000000"/>
          <w:sz w:val="24"/>
          <w:szCs w:val="24"/>
          <w:lang w:eastAsia="ru-RU"/>
        </w:rPr>
        <w:t xml:space="preserve"> с предложениями</w:t>
      </w:r>
      <w:r w:rsidR="0068058D" w:rsidRPr="00CF58B3">
        <w:rPr>
          <w:color w:val="000000"/>
          <w:sz w:val="24"/>
          <w:szCs w:val="24"/>
          <w:lang w:eastAsia="ru-RU"/>
        </w:rPr>
        <w:t>.</w:t>
      </w:r>
      <w:r w:rsidRPr="00CF58B3">
        <w:rPr>
          <w:color w:val="000000"/>
          <w:sz w:val="24"/>
          <w:szCs w:val="24"/>
          <w:lang w:eastAsia="ru-RU"/>
        </w:rPr>
        <w:t xml:space="preserve"> </w:t>
      </w:r>
    </w:p>
    <w:p w:rsidR="00560E0F" w:rsidRPr="00CF58B3" w:rsidRDefault="00560E0F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Действие Программы распространяется на продукты и Тарифные планы, указанные в </w:t>
      </w:r>
      <w:r w:rsidR="0068058D" w:rsidRPr="00CF58B3">
        <w:rPr>
          <w:color w:val="000000"/>
          <w:sz w:val="24"/>
          <w:szCs w:val="24"/>
          <w:lang w:eastAsia="ru-RU"/>
        </w:rPr>
        <w:t>Приложении №1 к настоящей Программе</w:t>
      </w:r>
      <w:r w:rsidRPr="00CF58B3">
        <w:rPr>
          <w:color w:val="000000"/>
          <w:sz w:val="24"/>
          <w:szCs w:val="24"/>
          <w:lang w:eastAsia="ru-RU"/>
        </w:rPr>
        <w:t xml:space="preserve">. </w:t>
      </w:r>
    </w:p>
    <w:p w:rsidR="00560E0F" w:rsidRPr="00CF58B3" w:rsidRDefault="00560E0F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Совершение физическим лицом действий по предоставлению в Банк </w:t>
      </w:r>
      <w:r w:rsidR="00B00BB3" w:rsidRPr="00CF58B3">
        <w:rPr>
          <w:color w:val="000000"/>
          <w:sz w:val="24"/>
          <w:szCs w:val="24"/>
          <w:lang w:eastAsia="ru-RU"/>
        </w:rPr>
        <w:t>«</w:t>
      </w:r>
      <w:r w:rsidR="0068058D" w:rsidRPr="00CF58B3">
        <w:rPr>
          <w:color w:val="000000"/>
          <w:sz w:val="24"/>
          <w:szCs w:val="24"/>
          <w:lang w:eastAsia="ru-RU"/>
        </w:rPr>
        <w:t>Заявления на получение личных международных банковских карт ООО КБ «РостФинанс» и открытие специального карточного счета (СКС)</w:t>
      </w:r>
      <w:r w:rsidR="00B00BB3" w:rsidRPr="00CF58B3">
        <w:rPr>
          <w:color w:val="000000"/>
          <w:sz w:val="24"/>
          <w:szCs w:val="24"/>
          <w:lang w:eastAsia="ru-RU"/>
        </w:rPr>
        <w:t>»</w:t>
      </w:r>
      <w:r w:rsidR="00C2188D" w:rsidRPr="00CF58B3">
        <w:rPr>
          <w:color w:val="000000"/>
          <w:sz w:val="24"/>
          <w:szCs w:val="24"/>
          <w:lang w:eastAsia="ru-RU"/>
        </w:rPr>
        <w:t xml:space="preserve"> (далее – Заявление)</w:t>
      </w:r>
      <w:r w:rsidR="0068058D" w:rsidRPr="00CF58B3">
        <w:rPr>
          <w:color w:val="000000"/>
          <w:sz w:val="24"/>
          <w:szCs w:val="24"/>
          <w:lang w:eastAsia="ru-RU"/>
        </w:rPr>
        <w:t xml:space="preserve"> </w:t>
      </w:r>
      <w:r w:rsidRPr="00CF58B3">
        <w:rPr>
          <w:color w:val="000000"/>
          <w:sz w:val="24"/>
          <w:szCs w:val="24"/>
          <w:lang w:eastAsia="ru-RU"/>
        </w:rPr>
        <w:t>является полным и безоговорочным принятием (акцептом) физическим лицом Оферты. Срок акцепта</w:t>
      </w:r>
      <w:r w:rsidR="00255821" w:rsidRPr="00CF58B3">
        <w:rPr>
          <w:color w:val="000000"/>
          <w:sz w:val="24"/>
          <w:szCs w:val="24"/>
          <w:lang w:eastAsia="ru-RU"/>
        </w:rPr>
        <w:t xml:space="preserve"> </w:t>
      </w:r>
      <w:r w:rsidRPr="00CF58B3">
        <w:rPr>
          <w:color w:val="000000"/>
          <w:sz w:val="24"/>
          <w:szCs w:val="24"/>
          <w:lang w:eastAsia="ru-RU"/>
        </w:rPr>
        <w:t xml:space="preserve">настоящей Оферты составляет не менее 30 (тридцати) календарных дней с даты начала действия настоящей Программы и опубликования текста настоящей Оферты на сайте Банка по адресу: </w:t>
      </w:r>
      <w:hyperlink r:id="rId11" w:history="1">
        <w:r w:rsidR="0068058D" w:rsidRPr="00CF58B3">
          <w:rPr>
            <w:rStyle w:val="a4"/>
            <w:b/>
            <w:color w:val="006666"/>
            <w:sz w:val="24"/>
            <w:szCs w:val="24"/>
            <w:lang w:eastAsia="ru-RU"/>
          </w:rPr>
          <w:t>www.</w:t>
        </w:r>
        <w:r w:rsidR="0068058D" w:rsidRPr="00CF58B3">
          <w:rPr>
            <w:rStyle w:val="a4"/>
            <w:b/>
            <w:color w:val="006666"/>
            <w:sz w:val="24"/>
            <w:szCs w:val="24"/>
            <w:lang w:val="en-US" w:eastAsia="ru-RU"/>
          </w:rPr>
          <w:t>rostfinance</w:t>
        </w:r>
        <w:r w:rsidR="0068058D" w:rsidRPr="00CF58B3">
          <w:rPr>
            <w:rStyle w:val="a4"/>
            <w:b/>
            <w:color w:val="006666"/>
            <w:sz w:val="24"/>
            <w:szCs w:val="24"/>
            <w:lang w:eastAsia="ru-RU"/>
          </w:rPr>
          <w:t>.</w:t>
        </w:r>
        <w:proofErr w:type="spellStart"/>
        <w:r w:rsidR="0068058D" w:rsidRPr="00CF58B3">
          <w:rPr>
            <w:rStyle w:val="a4"/>
            <w:b/>
            <w:color w:val="006666"/>
            <w:sz w:val="24"/>
            <w:szCs w:val="24"/>
            <w:lang w:eastAsia="ru-RU"/>
          </w:rPr>
          <w:t>ru</w:t>
        </w:r>
        <w:proofErr w:type="spellEnd"/>
      </w:hyperlink>
      <w:r w:rsidRPr="00CF58B3">
        <w:rPr>
          <w:color w:val="000000"/>
          <w:sz w:val="24"/>
          <w:szCs w:val="24"/>
          <w:lang w:eastAsia="ru-RU"/>
        </w:rPr>
        <w:t xml:space="preserve">. </w:t>
      </w:r>
    </w:p>
    <w:p w:rsidR="00F41710" w:rsidRPr="00CF58B3" w:rsidRDefault="00F41710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>По</w:t>
      </w:r>
      <w:r w:rsidR="006E7356" w:rsidRPr="00CF58B3">
        <w:rPr>
          <w:color w:val="000000"/>
          <w:sz w:val="24"/>
          <w:szCs w:val="24"/>
          <w:lang w:eastAsia="ru-RU"/>
        </w:rPr>
        <w:t>дключение к Программе возможно</w:t>
      </w:r>
      <w:r w:rsidRPr="00CF58B3">
        <w:rPr>
          <w:color w:val="000000"/>
          <w:sz w:val="24"/>
          <w:szCs w:val="24"/>
          <w:lang w:eastAsia="ru-RU"/>
        </w:rPr>
        <w:t xml:space="preserve"> держателей банковских карт, которым Карты оформлены ранее даты запуска Программы при одновременно</w:t>
      </w:r>
      <w:r w:rsidR="006E7356" w:rsidRPr="00CF58B3">
        <w:rPr>
          <w:color w:val="000000"/>
          <w:sz w:val="24"/>
          <w:szCs w:val="24"/>
          <w:lang w:eastAsia="ru-RU"/>
        </w:rPr>
        <w:t>м выполнении</w:t>
      </w:r>
      <w:r w:rsidRPr="00CF58B3">
        <w:rPr>
          <w:color w:val="000000"/>
          <w:sz w:val="24"/>
          <w:szCs w:val="24"/>
          <w:lang w:eastAsia="ru-RU"/>
        </w:rPr>
        <w:t xml:space="preserve"> следующих условий:</w:t>
      </w:r>
    </w:p>
    <w:p w:rsidR="00F41710" w:rsidRPr="00CF58B3" w:rsidRDefault="00F41710" w:rsidP="00F41710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>Получения Банком от клиента, желающего принять участие в Программе, заявления на подключение по форме Приложения №2 к настоящей Программе</w:t>
      </w:r>
      <w:r w:rsidR="00C2188D" w:rsidRPr="00CF58B3">
        <w:rPr>
          <w:color w:val="000000"/>
          <w:sz w:val="24"/>
          <w:szCs w:val="24"/>
          <w:lang w:eastAsia="ru-RU"/>
        </w:rPr>
        <w:t xml:space="preserve"> (или форме, содержащей те же данные и размещенной в электронном виде в системах дистанционного обслуживания клиентов)</w:t>
      </w:r>
      <w:r w:rsidR="006E7356" w:rsidRPr="00CF58B3">
        <w:rPr>
          <w:color w:val="000000"/>
          <w:sz w:val="24"/>
          <w:szCs w:val="24"/>
          <w:lang w:eastAsia="ru-RU"/>
        </w:rPr>
        <w:t xml:space="preserve"> (как в офисе банка, так и с использованием дистанционных каналов обслуживания клиентов)</w:t>
      </w:r>
      <w:r w:rsidR="00C2188D" w:rsidRPr="00CF58B3">
        <w:rPr>
          <w:color w:val="000000"/>
          <w:sz w:val="24"/>
          <w:szCs w:val="24"/>
          <w:lang w:eastAsia="ru-RU"/>
        </w:rPr>
        <w:t xml:space="preserve"> или согласия клиента путем его отражения в Заявлении</w:t>
      </w:r>
      <w:r w:rsidRPr="00CF58B3">
        <w:rPr>
          <w:color w:val="000000"/>
          <w:sz w:val="24"/>
          <w:szCs w:val="24"/>
          <w:lang w:eastAsia="ru-RU"/>
        </w:rPr>
        <w:t>;</w:t>
      </w:r>
    </w:p>
    <w:p w:rsidR="00F41710" w:rsidRPr="00CF58B3" w:rsidRDefault="00F41710" w:rsidP="00F41710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>Наличия у клиента Карты</w:t>
      </w:r>
      <w:r w:rsidR="00C2188D" w:rsidRPr="00CF58B3">
        <w:rPr>
          <w:color w:val="000000"/>
          <w:sz w:val="24"/>
          <w:szCs w:val="24"/>
          <w:lang w:eastAsia="ru-RU"/>
        </w:rPr>
        <w:t xml:space="preserve"> с тарифом, участвующим</w:t>
      </w:r>
      <w:r w:rsidRPr="00CF58B3">
        <w:rPr>
          <w:color w:val="000000"/>
          <w:sz w:val="24"/>
          <w:szCs w:val="24"/>
          <w:lang w:eastAsia="ru-RU"/>
        </w:rPr>
        <w:t xml:space="preserve"> в Программе</w:t>
      </w:r>
      <w:r w:rsidR="00771191" w:rsidRPr="00CF58B3">
        <w:rPr>
          <w:color w:val="000000"/>
          <w:sz w:val="24"/>
          <w:szCs w:val="24"/>
          <w:lang w:eastAsia="ru-RU"/>
        </w:rPr>
        <w:t>.</w:t>
      </w:r>
    </w:p>
    <w:p w:rsidR="00F41710" w:rsidRPr="00CF58B3" w:rsidRDefault="00F41710" w:rsidP="00A82E67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Отключение клиента, ранее подключенного к </w:t>
      </w:r>
      <w:r w:rsidRPr="00CF58B3">
        <w:rPr>
          <w:sz w:val="24"/>
          <w:szCs w:val="24"/>
          <w:lang w:eastAsia="ru-RU"/>
        </w:rPr>
        <w:t>Программе от участия в ней возможно в любое время путем оформления клиентом заявления на отключение по форме Приложения №3 к настоящей Программе. При этом с даты получения Банком заявления прекращается начис</w:t>
      </w:r>
      <w:r w:rsidRPr="00F835BC">
        <w:rPr>
          <w:sz w:val="24"/>
          <w:szCs w:val="24"/>
          <w:lang w:eastAsia="ru-RU"/>
        </w:rPr>
        <w:t>ление и выплата бонусного</w:t>
      </w:r>
      <w:r w:rsidR="004E23AC" w:rsidRPr="00F835BC">
        <w:rPr>
          <w:sz w:val="24"/>
          <w:szCs w:val="24"/>
          <w:lang w:eastAsia="ru-RU"/>
        </w:rPr>
        <w:t xml:space="preserve"> вознаграждения клиенту. При этом если ранее были произведены операции, по которым предусмотрено начисление</w:t>
      </w:r>
      <w:r w:rsidR="008A1A4C" w:rsidRPr="00F835BC">
        <w:rPr>
          <w:sz w:val="24"/>
          <w:szCs w:val="24"/>
          <w:lang w:eastAsia="ru-RU"/>
        </w:rPr>
        <w:t xml:space="preserve"> Бонусов, то они будут аннулированы.</w:t>
      </w:r>
      <w:r w:rsidRPr="00CF58B3">
        <w:rPr>
          <w:color w:val="000000"/>
          <w:sz w:val="24"/>
          <w:szCs w:val="24"/>
          <w:lang w:eastAsia="ru-RU"/>
        </w:rPr>
        <w:t xml:space="preserve"> </w:t>
      </w:r>
    </w:p>
    <w:p w:rsidR="00560E0F" w:rsidRPr="00CF58B3" w:rsidRDefault="0068058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Настоящая Программа размещена </w:t>
      </w:r>
      <w:r w:rsidR="00560E0F" w:rsidRPr="00CF58B3">
        <w:rPr>
          <w:color w:val="000000"/>
          <w:sz w:val="24"/>
          <w:szCs w:val="24"/>
          <w:lang w:eastAsia="ru-RU"/>
        </w:rPr>
        <w:t xml:space="preserve">на сайте Банка по адресу </w:t>
      </w:r>
      <w:hyperlink r:id="rId12" w:history="1">
        <w:r w:rsidRPr="00CF58B3">
          <w:rPr>
            <w:rStyle w:val="a4"/>
            <w:b/>
            <w:color w:val="006666"/>
            <w:sz w:val="24"/>
            <w:szCs w:val="24"/>
            <w:lang w:eastAsia="ru-RU"/>
          </w:rPr>
          <w:t>www.rostfinance.ru</w:t>
        </w:r>
      </w:hyperlink>
      <w:r w:rsidR="00560E0F" w:rsidRPr="00CF58B3">
        <w:rPr>
          <w:color w:val="000000"/>
          <w:sz w:val="24"/>
          <w:szCs w:val="24"/>
          <w:lang w:eastAsia="ru-RU"/>
        </w:rPr>
        <w:t xml:space="preserve">. </w:t>
      </w:r>
    </w:p>
    <w:p w:rsidR="0068058D" w:rsidRPr="00CF58B3" w:rsidRDefault="0068058D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3" w:name="_Toc35128090"/>
      <w:r w:rsidRPr="00CF58B3">
        <w:rPr>
          <w:b/>
          <w:color w:val="FFFFFF" w:themeColor="background1"/>
          <w:szCs w:val="24"/>
        </w:rPr>
        <w:lastRenderedPageBreak/>
        <w:t>Общие положения Программы</w:t>
      </w:r>
      <w:bookmarkEnd w:id="3"/>
      <w:r w:rsidRPr="00CF58B3">
        <w:rPr>
          <w:b/>
          <w:color w:val="FFFFFF" w:themeColor="background1"/>
          <w:szCs w:val="24"/>
        </w:rPr>
        <w:t xml:space="preserve"> </w:t>
      </w:r>
    </w:p>
    <w:p w:rsidR="0068058D" w:rsidRPr="00CF58B3" w:rsidRDefault="0068058D" w:rsidP="00E37A7F">
      <w:pPr>
        <w:pStyle w:val="afc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vanish/>
          <w:color w:val="000000"/>
          <w:sz w:val="24"/>
          <w:szCs w:val="24"/>
          <w:lang w:eastAsia="ru-RU"/>
        </w:rPr>
      </w:pPr>
    </w:p>
    <w:p w:rsidR="0068058D" w:rsidRPr="00CF58B3" w:rsidRDefault="0068058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Настоящая Программа предназначена для повышения лояльности Клиента к продуктам Банка, мотивации Клиента на совершение большего количества транзакций в торгово-сервисной сети, с использованием Карты и отказа от использования наличных денежных средств в ежедневных расчетах. </w:t>
      </w:r>
    </w:p>
    <w:p w:rsidR="0068058D" w:rsidRPr="00CF58B3" w:rsidRDefault="0068058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color w:val="000000"/>
          <w:sz w:val="24"/>
          <w:szCs w:val="24"/>
          <w:lang w:eastAsia="ru-RU"/>
        </w:rPr>
        <w:t xml:space="preserve">В рамках настоящей Программы Банк начисляет Клиенту бонусы (далее – </w:t>
      </w:r>
      <w:r w:rsidR="00B00BB3" w:rsidRPr="00CF58B3">
        <w:rPr>
          <w:color w:val="000000"/>
          <w:sz w:val="24"/>
          <w:szCs w:val="24"/>
          <w:lang w:eastAsia="ru-RU"/>
        </w:rPr>
        <w:t>«</w:t>
      </w:r>
      <w:r w:rsidR="001D0FCF" w:rsidRPr="00CF58B3">
        <w:rPr>
          <w:color w:val="000000"/>
          <w:sz w:val="24"/>
          <w:szCs w:val="24"/>
          <w:lang w:eastAsia="ru-RU"/>
        </w:rPr>
        <w:t>Бонусы</w:t>
      </w:r>
      <w:r w:rsidR="00B00BB3" w:rsidRPr="00CF58B3">
        <w:rPr>
          <w:color w:val="000000"/>
          <w:sz w:val="24"/>
          <w:szCs w:val="24"/>
          <w:lang w:eastAsia="ru-RU"/>
        </w:rPr>
        <w:t>»</w:t>
      </w:r>
      <w:r w:rsidRPr="00CF58B3">
        <w:rPr>
          <w:color w:val="000000"/>
          <w:sz w:val="24"/>
          <w:szCs w:val="24"/>
          <w:lang w:eastAsia="ru-RU"/>
        </w:rPr>
        <w:t xml:space="preserve">), которые можно использовать для компенсации покупок с </w:t>
      </w:r>
      <w:r w:rsidR="00C2188D" w:rsidRPr="00CF58B3">
        <w:rPr>
          <w:color w:val="000000"/>
          <w:sz w:val="24"/>
          <w:szCs w:val="24"/>
          <w:lang w:eastAsia="ru-RU"/>
        </w:rPr>
        <w:t xml:space="preserve">использованием Карты согласно </w:t>
      </w:r>
      <w:r w:rsidR="00C2188D" w:rsidRPr="00CF58B3">
        <w:rPr>
          <w:sz w:val="24"/>
          <w:szCs w:val="24"/>
          <w:lang w:eastAsia="ru-RU"/>
        </w:rPr>
        <w:t>раздел</w:t>
      </w:r>
      <w:r w:rsidR="00A82E67" w:rsidRPr="00CF58B3">
        <w:rPr>
          <w:sz w:val="24"/>
          <w:szCs w:val="24"/>
          <w:lang w:eastAsia="ru-RU"/>
        </w:rPr>
        <w:t>а</w:t>
      </w:r>
      <w:r w:rsidR="00C2188D" w:rsidRPr="00CF58B3">
        <w:rPr>
          <w:sz w:val="24"/>
          <w:szCs w:val="24"/>
          <w:lang w:eastAsia="ru-RU"/>
        </w:rPr>
        <w:t xml:space="preserve"> 7 Программы </w:t>
      </w:r>
      <w:r w:rsidRPr="00CF58B3">
        <w:rPr>
          <w:sz w:val="24"/>
          <w:szCs w:val="24"/>
          <w:lang w:eastAsia="ru-RU"/>
        </w:rPr>
        <w:t>(по MCC</w:t>
      </w:r>
      <w:r w:rsidR="004B742F" w:rsidRPr="00CF58B3">
        <w:rPr>
          <w:rStyle w:val="aff5"/>
          <w:sz w:val="24"/>
          <w:szCs w:val="24"/>
          <w:lang w:eastAsia="ru-RU"/>
        </w:rPr>
        <w:footnoteReference w:id="1"/>
      </w:r>
      <w:r w:rsidRPr="00CF58B3">
        <w:rPr>
          <w:sz w:val="24"/>
          <w:szCs w:val="24"/>
          <w:lang w:eastAsia="ru-RU"/>
        </w:rPr>
        <w:t>-кодам</w:t>
      </w:r>
      <w:r w:rsidR="00C2188D" w:rsidRPr="00CF58B3">
        <w:rPr>
          <w:sz w:val="24"/>
          <w:szCs w:val="24"/>
          <w:lang w:eastAsia="ru-RU"/>
        </w:rPr>
        <w:t>, определяемым Банком) из расчета:</w:t>
      </w:r>
    </w:p>
    <w:p w:rsidR="0068058D" w:rsidRPr="00CF58B3" w:rsidRDefault="0068058D" w:rsidP="00274687">
      <w:pPr>
        <w:suppressAutoHyphens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CF58B3">
        <w:rPr>
          <w:b/>
          <w:bCs/>
          <w:sz w:val="24"/>
          <w:szCs w:val="24"/>
          <w:lang w:eastAsia="ru-RU"/>
        </w:rPr>
        <w:t xml:space="preserve">1 </w:t>
      </w:r>
      <w:r w:rsidR="001D0FCF" w:rsidRPr="00CF58B3">
        <w:rPr>
          <w:b/>
          <w:bCs/>
          <w:sz w:val="24"/>
          <w:szCs w:val="24"/>
          <w:lang w:eastAsia="ru-RU"/>
        </w:rPr>
        <w:t>Бонус</w:t>
      </w:r>
      <w:r w:rsidRPr="00CF58B3">
        <w:rPr>
          <w:b/>
          <w:bCs/>
          <w:sz w:val="24"/>
          <w:szCs w:val="24"/>
          <w:lang w:eastAsia="ru-RU"/>
        </w:rPr>
        <w:t xml:space="preserve"> = 1 рубль РФ </w:t>
      </w:r>
    </w:p>
    <w:p w:rsidR="0068058D" w:rsidRPr="00CF58B3" w:rsidRDefault="0068058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Предусмотрено несколько видов </w:t>
      </w:r>
      <w:r w:rsidR="001D0FCF" w:rsidRPr="00CF58B3">
        <w:rPr>
          <w:sz w:val="24"/>
          <w:szCs w:val="24"/>
          <w:lang w:eastAsia="ru-RU"/>
        </w:rPr>
        <w:t>Бонусов</w:t>
      </w:r>
      <w:r w:rsidRPr="00CF58B3">
        <w:rPr>
          <w:sz w:val="24"/>
          <w:szCs w:val="24"/>
          <w:lang w:eastAsia="ru-RU"/>
        </w:rPr>
        <w:t xml:space="preserve">: </w:t>
      </w:r>
    </w:p>
    <w:p w:rsidR="0068058D" w:rsidRPr="00CF58B3" w:rsidRDefault="0068058D" w:rsidP="00E37A7F">
      <w:pPr>
        <w:pStyle w:val="afc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44"/>
        <w:ind w:left="709" w:hanging="425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транзакционные – за совершение транзакций по договору Карты; </w:t>
      </w:r>
    </w:p>
    <w:p w:rsidR="0068058D" w:rsidRPr="00CF58B3" w:rsidRDefault="0068058D" w:rsidP="00E37A7F">
      <w:pPr>
        <w:pStyle w:val="afc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44"/>
        <w:ind w:left="709" w:hanging="425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призовые, приветственные</w:t>
      </w:r>
      <w:r w:rsidR="001D0FCF" w:rsidRPr="00CF58B3">
        <w:rPr>
          <w:sz w:val="24"/>
          <w:szCs w:val="24"/>
          <w:lang w:eastAsia="ru-RU"/>
        </w:rPr>
        <w:t xml:space="preserve">, премиальные </w:t>
      </w:r>
      <w:r w:rsidRPr="00CF58B3">
        <w:rPr>
          <w:sz w:val="24"/>
          <w:szCs w:val="24"/>
          <w:lang w:eastAsia="ru-RU"/>
        </w:rPr>
        <w:t xml:space="preserve">– дополнительные </w:t>
      </w:r>
      <w:r w:rsidR="001D0FCF" w:rsidRPr="00CF58B3">
        <w:rPr>
          <w:sz w:val="24"/>
          <w:szCs w:val="24"/>
          <w:lang w:eastAsia="ru-RU"/>
        </w:rPr>
        <w:t>Бонусы</w:t>
      </w:r>
      <w:r w:rsidRPr="00CF58B3">
        <w:rPr>
          <w:sz w:val="24"/>
          <w:szCs w:val="24"/>
          <w:lang w:eastAsia="ru-RU"/>
        </w:rPr>
        <w:t>, которые могут начисляться Банком при проведении рекламных мероприятий</w:t>
      </w:r>
      <w:r w:rsidR="001F6368" w:rsidRPr="00CF58B3">
        <w:rPr>
          <w:sz w:val="24"/>
          <w:szCs w:val="24"/>
          <w:lang w:eastAsia="ru-RU"/>
        </w:rPr>
        <w:t xml:space="preserve">, </w:t>
      </w:r>
      <w:r w:rsidRPr="00CF58B3">
        <w:rPr>
          <w:sz w:val="24"/>
          <w:szCs w:val="24"/>
          <w:lang w:eastAsia="ru-RU"/>
        </w:rPr>
        <w:t>в том числе стимулирующих, направленных на повышение привлекательности предложения и повышение уровня использования Карт (далее – Мероприятия;</w:t>
      </w:r>
    </w:p>
    <w:p w:rsidR="0068058D" w:rsidRPr="00CF58B3" w:rsidRDefault="0068058D" w:rsidP="00E37A7F">
      <w:pPr>
        <w:pStyle w:val="afc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rPr>
          <w:color w:val="000000"/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корректировочные – начисляются</w:t>
      </w:r>
      <w:r w:rsidR="004E33CF" w:rsidRPr="00CF58B3">
        <w:rPr>
          <w:sz w:val="24"/>
          <w:szCs w:val="24"/>
          <w:lang w:eastAsia="ru-RU"/>
        </w:rPr>
        <w:t>/списываются</w:t>
      </w:r>
      <w:r w:rsidRPr="00CF58B3">
        <w:rPr>
          <w:sz w:val="24"/>
          <w:szCs w:val="24"/>
          <w:lang w:eastAsia="ru-RU"/>
        </w:rPr>
        <w:t xml:space="preserve"> при выявленных несоответствиях в ранее </w:t>
      </w:r>
      <w:r w:rsidR="004E33CF" w:rsidRPr="00CF58B3">
        <w:rPr>
          <w:sz w:val="24"/>
          <w:szCs w:val="24"/>
          <w:lang w:eastAsia="ru-RU"/>
        </w:rPr>
        <w:t>списанных/</w:t>
      </w:r>
      <w:r w:rsidRPr="00CF58B3">
        <w:rPr>
          <w:sz w:val="24"/>
          <w:szCs w:val="24"/>
          <w:lang w:eastAsia="ru-RU"/>
        </w:rPr>
        <w:t xml:space="preserve">начисленных </w:t>
      </w:r>
      <w:r w:rsidR="001D0FCF" w:rsidRPr="00CF58B3">
        <w:rPr>
          <w:sz w:val="24"/>
          <w:szCs w:val="24"/>
          <w:lang w:eastAsia="ru-RU"/>
        </w:rPr>
        <w:t>Бонусах</w:t>
      </w:r>
      <w:r w:rsidRPr="00CF58B3">
        <w:rPr>
          <w:sz w:val="24"/>
          <w:szCs w:val="24"/>
          <w:lang w:eastAsia="ru-RU"/>
        </w:rPr>
        <w:t xml:space="preserve">, а также в иных случаях </w:t>
      </w:r>
      <w:r w:rsidRPr="00CF58B3">
        <w:rPr>
          <w:color w:val="000000"/>
          <w:sz w:val="24"/>
          <w:szCs w:val="24"/>
          <w:lang w:eastAsia="ru-RU"/>
        </w:rPr>
        <w:t xml:space="preserve">согласно Программе; </w:t>
      </w:r>
    </w:p>
    <w:p w:rsidR="0088367D" w:rsidRPr="00F903C0" w:rsidRDefault="0088367D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4" w:name="_Toc35128091"/>
      <w:r w:rsidRPr="00F903C0">
        <w:rPr>
          <w:b/>
          <w:color w:val="FFFFFF" w:themeColor="background1"/>
          <w:szCs w:val="24"/>
        </w:rPr>
        <w:t xml:space="preserve">Виды </w:t>
      </w:r>
      <w:r w:rsidR="001D0FCF" w:rsidRPr="00F903C0">
        <w:rPr>
          <w:b/>
          <w:color w:val="FFFFFF" w:themeColor="background1"/>
          <w:szCs w:val="24"/>
        </w:rPr>
        <w:t>Бонусов</w:t>
      </w:r>
      <w:bookmarkEnd w:id="4"/>
      <w:r w:rsidRPr="00F903C0">
        <w:rPr>
          <w:b/>
          <w:color w:val="FFFFFF" w:themeColor="background1"/>
          <w:szCs w:val="24"/>
        </w:rPr>
        <w:t xml:space="preserve"> </w:t>
      </w:r>
    </w:p>
    <w:p w:rsidR="0088367D" w:rsidRPr="00CF58B3" w:rsidRDefault="0088367D" w:rsidP="00E37A7F">
      <w:pPr>
        <w:pStyle w:val="afc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vanish/>
          <w:sz w:val="24"/>
          <w:szCs w:val="24"/>
          <w:lang w:eastAsia="ru-RU"/>
        </w:rPr>
      </w:pPr>
    </w:p>
    <w:p w:rsidR="0088367D" w:rsidRPr="00CF58B3" w:rsidRDefault="0088367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 xml:space="preserve">Транзакционные </w:t>
      </w:r>
      <w:r w:rsidR="001D0FCF" w:rsidRPr="00CF58B3">
        <w:rPr>
          <w:b/>
          <w:sz w:val="24"/>
          <w:szCs w:val="24"/>
          <w:lang w:eastAsia="ru-RU"/>
        </w:rPr>
        <w:t>Бонусы</w:t>
      </w:r>
      <w:r w:rsidR="00B00BB3" w:rsidRPr="00CF58B3">
        <w:rPr>
          <w:b/>
          <w:sz w:val="24"/>
          <w:szCs w:val="24"/>
          <w:lang w:eastAsia="ru-RU"/>
        </w:rPr>
        <w:t xml:space="preserve"> - </w:t>
      </w:r>
      <w:r w:rsidR="001D0FCF" w:rsidRPr="00CF58B3">
        <w:rPr>
          <w:sz w:val="24"/>
          <w:szCs w:val="24"/>
          <w:lang w:eastAsia="ru-RU"/>
        </w:rPr>
        <w:t>Бонусы</w:t>
      </w:r>
      <w:r w:rsidRPr="00CF58B3">
        <w:rPr>
          <w:sz w:val="24"/>
          <w:szCs w:val="24"/>
          <w:lang w:eastAsia="ru-RU"/>
        </w:rPr>
        <w:t xml:space="preserve"> за совершение операций с использованием Карты подразделяются в зависимости от типа операции: </w:t>
      </w:r>
    </w:p>
    <w:p w:rsidR="00B00BB3" w:rsidRPr="00CF58B3" w:rsidRDefault="0088367D" w:rsidP="00E37A7F">
      <w:pPr>
        <w:pStyle w:val="afc"/>
        <w:numPr>
          <w:ilvl w:val="2"/>
          <w:numId w:val="3"/>
        </w:numPr>
        <w:suppressAutoHyphens w:val="0"/>
        <w:autoSpaceDE w:val="0"/>
        <w:autoSpaceDN w:val="0"/>
        <w:adjustRightInd w:val="0"/>
        <w:spacing w:after="33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операции покупок</w:t>
      </w:r>
      <w:r w:rsidR="00B00BB3" w:rsidRPr="00CF58B3">
        <w:rPr>
          <w:sz w:val="24"/>
          <w:szCs w:val="24"/>
          <w:lang w:eastAsia="ru-RU"/>
        </w:rPr>
        <w:t xml:space="preserve"> в компаниях-партнерах;</w:t>
      </w:r>
    </w:p>
    <w:p w:rsidR="0088367D" w:rsidRPr="00CF58B3" w:rsidRDefault="00B00BB3" w:rsidP="00E37A7F">
      <w:pPr>
        <w:pStyle w:val="afc"/>
        <w:numPr>
          <w:ilvl w:val="2"/>
          <w:numId w:val="3"/>
        </w:numPr>
        <w:suppressAutoHyphens w:val="0"/>
        <w:autoSpaceDE w:val="0"/>
        <w:autoSpaceDN w:val="0"/>
        <w:adjustRightInd w:val="0"/>
        <w:spacing w:after="33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другие операции покупок </w:t>
      </w:r>
      <w:r w:rsidR="0088367D" w:rsidRPr="00CF58B3">
        <w:rPr>
          <w:sz w:val="24"/>
          <w:szCs w:val="24"/>
          <w:lang w:eastAsia="ru-RU"/>
        </w:rPr>
        <w:t>(за исключением переводов, платежей и пр. в Интернет-Банке и Мобильно</w:t>
      </w:r>
      <w:r w:rsidRPr="00CF58B3">
        <w:rPr>
          <w:sz w:val="24"/>
          <w:szCs w:val="24"/>
          <w:lang w:eastAsia="ru-RU"/>
        </w:rPr>
        <w:t>м Банке).</w:t>
      </w:r>
    </w:p>
    <w:p w:rsidR="0088367D" w:rsidRPr="00CF58B3" w:rsidRDefault="001D0FCF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>Призовые,</w:t>
      </w:r>
      <w:r w:rsidR="0088367D" w:rsidRPr="00CF58B3">
        <w:rPr>
          <w:b/>
          <w:sz w:val="24"/>
          <w:szCs w:val="24"/>
          <w:lang w:eastAsia="ru-RU"/>
        </w:rPr>
        <w:t xml:space="preserve"> приветственные</w:t>
      </w:r>
      <w:r w:rsidRPr="00CF58B3">
        <w:rPr>
          <w:b/>
          <w:sz w:val="24"/>
          <w:szCs w:val="24"/>
          <w:lang w:eastAsia="ru-RU"/>
        </w:rPr>
        <w:t>, премиальные</w:t>
      </w:r>
      <w:r w:rsidR="0088367D" w:rsidRPr="00CF58B3">
        <w:rPr>
          <w:b/>
          <w:sz w:val="24"/>
          <w:szCs w:val="24"/>
          <w:lang w:eastAsia="ru-RU"/>
        </w:rPr>
        <w:t xml:space="preserve"> </w:t>
      </w:r>
      <w:r w:rsidRPr="00CF58B3">
        <w:rPr>
          <w:b/>
          <w:sz w:val="24"/>
          <w:szCs w:val="24"/>
          <w:lang w:eastAsia="ru-RU"/>
        </w:rPr>
        <w:t>Бонусы.</w:t>
      </w:r>
    </w:p>
    <w:p w:rsidR="0088367D" w:rsidRPr="00CF58B3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Банк может проводить Мероприятия по своему усмотрению. Порядок и размер начисления </w:t>
      </w:r>
      <w:r w:rsidR="001D0FCF" w:rsidRPr="00CF58B3">
        <w:rPr>
          <w:sz w:val="24"/>
          <w:szCs w:val="24"/>
          <w:lang w:eastAsia="ru-RU"/>
        </w:rPr>
        <w:t>Бонусов</w:t>
      </w:r>
      <w:r w:rsidRPr="00CF58B3">
        <w:rPr>
          <w:sz w:val="24"/>
          <w:szCs w:val="24"/>
          <w:lang w:eastAsia="ru-RU"/>
        </w:rPr>
        <w:t xml:space="preserve"> опр</w:t>
      </w:r>
      <w:r w:rsidR="001F6368" w:rsidRPr="00CF58B3">
        <w:rPr>
          <w:sz w:val="24"/>
          <w:szCs w:val="24"/>
          <w:lang w:eastAsia="ru-RU"/>
        </w:rPr>
        <w:t>еделяется правилами Мероприятия, а также предусмотрены тарифами Банка</w:t>
      </w:r>
      <w:r w:rsidRPr="00CF58B3">
        <w:rPr>
          <w:sz w:val="24"/>
          <w:szCs w:val="24"/>
          <w:lang w:eastAsia="ru-RU"/>
        </w:rPr>
        <w:t xml:space="preserve"> </w:t>
      </w:r>
    </w:p>
    <w:p w:rsidR="0088367D" w:rsidRPr="00CF58B3" w:rsidRDefault="0088367D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 xml:space="preserve">Корректировочные </w:t>
      </w:r>
      <w:r w:rsidR="001D0FCF" w:rsidRPr="00CF58B3">
        <w:rPr>
          <w:b/>
          <w:sz w:val="24"/>
          <w:szCs w:val="24"/>
          <w:lang w:eastAsia="ru-RU"/>
        </w:rPr>
        <w:t>Бонусы</w:t>
      </w:r>
    </w:p>
    <w:p w:rsidR="0088367D" w:rsidRPr="00CF58B3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При выявлении несоответствия фактически начисленных (рассчитанных) </w:t>
      </w:r>
      <w:r w:rsidR="001D0FCF" w:rsidRPr="00CF58B3">
        <w:rPr>
          <w:sz w:val="24"/>
          <w:szCs w:val="24"/>
          <w:lang w:eastAsia="ru-RU"/>
        </w:rPr>
        <w:t>Бонусов</w:t>
      </w:r>
      <w:r w:rsidRPr="00CF58B3">
        <w:rPr>
          <w:sz w:val="24"/>
          <w:szCs w:val="24"/>
          <w:lang w:eastAsia="ru-RU"/>
        </w:rPr>
        <w:t xml:space="preserve"> с условиями настоящей Программы (Мероприятия), а также в иных случаях Банк по своему усмотрению вправе начислить Клиенту недостающие </w:t>
      </w:r>
      <w:r w:rsidR="00D06DFD" w:rsidRPr="00CF58B3">
        <w:rPr>
          <w:sz w:val="24"/>
          <w:szCs w:val="24"/>
          <w:lang w:eastAsia="ru-RU"/>
        </w:rPr>
        <w:t>Бонусы</w:t>
      </w:r>
      <w:r w:rsidR="001D0FCF" w:rsidRPr="00CF58B3">
        <w:rPr>
          <w:sz w:val="24"/>
          <w:szCs w:val="24"/>
          <w:lang w:eastAsia="ru-RU"/>
        </w:rPr>
        <w:t xml:space="preserve"> или списать излишне начисленные.</w:t>
      </w:r>
      <w:r w:rsidR="003F245A" w:rsidRPr="00CF58B3">
        <w:rPr>
          <w:sz w:val="24"/>
          <w:szCs w:val="24"/>
          <w:lang w:eastAsia="ru-RU"/>
        </w:rPr>
        <w:t xml:space="preserve"> </w:t>
      </w:r>
    </w:p>
    <w:p w:rsidR="0088367D" w:rsidRPr="00CF58B3" w:rsidRDefault="0088367D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5" w:name="_Toc35128092"/>
      <w:r w:rsidRPr="00CF58B3">
        <w:rPr>
          <w:b/>
          <w:color w:val="FFFFFF" w:themeColor="background1"/>
          <w:szCs w:val="24"/>
        </w:rPr>
        <w:t xml:space="preserve">Порядок начисления и списания </w:t>
      </w:r>
      <w:r w:rsidR="001D0FCF" w:rsidRPr="00CF58B3">
        <w:rPr>
          <w:b/>
          <w:color w:val="FFFFFF" w:themeColor="background1"/>
          <w:szCs w:val="24"/>
        </w:rPr>
        <w:t>Бонусов</w:t>
      </w:r>
      <w:bookmarkEnd w:id="5"/>
      <w:r w:rsidRPr="00CF58B3">
        <w:rPr>
          <w:b/>
          <w:color w:val="FFFFFF" w:themeColor="background1"/>
          <w:szCs w:val="24"/>
        </w:rPr>
        <w:t xml:space="preserve"> </w:t>
      </w:r>
    </w:p>
    <w:p w:rsidR="0088367D" w:rsidRPr="00CF58B3" w:rsidRDefault="0088367D" w:rsidP="00E37A7F">
      <w:pPr>
        <w:pStyle w:val="afc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vanish/>
          <w:color w:val="000000"/>
          <w:sz w:val="24"/>
          <w:szCs w:val="24"/>
          <w:lang w:eastAsia="ru-RU"/>
        </w:rPr>
      </w:pPr>
    </w:p>
    <w:p w:rsidR="0088367D" w:rsidRPr="00CF58B3" w:rsidRDefault="0088367D" w:rsidP="00E37A7F">
      <w:pPr>
        <w:pStyle w:val="afc"/>
        <w:numPr>
          <w:ilvl w:val="1"/>
          <w:numId w:val="3"/>
        </w:numPr>
        <w:suppressAutoHyphens w:val="0"/>
        <w:autoSpaceDE w:val="0"/>
        <w:autoSpaceDN w:val="0"/>
        <w:adjustRightInd w:val="0"/>
        <w:ind w:left="709" w:hanging="709"/>
        <w:jc w:val="both"/>
        <w:rPr>
          <w:b/>
          <w:sz w:val="24"/>
          <w:szCs w:val="24"/>
          <w:lang w:eastAsia="ru-RU"/>
        </w:rPr>
      </w:pPr>
      <w:r w:rsidRPr="00CF58B3">
        <w:rPr>
          <w:b/>
          <w:sz w:val="24"/>
          <w:szCs w:val="24"/>
          <w:lang w:eastAsia="ru-RU"/>
        </w:rPr>
        <w:t xml:space="preserve">Начисление </w:t>
      </w:r>
      <w:r w:rsidR="001D0FCF" w:rsidRPr="00CF58B3">
        <w:rPr>
          <w:b/>
          <w:sz w:val="24"/>
          <w:szCs w:val="24"/>
          <w:lang w:eastAsia="ru-RU"/>
        </w:rPr>
        <w:t>Бонусов</w:t>
      </w:r>
      <w:r w:rsidRPr="00CF58B3">
        <w:rPr>
          <w:b/>
          <w:sz w:val="24"/>
          <w:szCs w:val="24"/>
          <w:lang w:eastAsia="ru-RU"/>
        </w:rPr>
        <w:t xml:space="preserve"> </w:t>
      </w:r>
    </w:p>
    <w:p w:rsidR="0075283B" w:rsidRPr="00CF58B3" w:rsidRDefault="00382343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Бонусы</w:t>
      </w:r>
      <w:r w:rsidR="0088367D" w:rsidRPr="00CF58B3">
        <w:rPr>
          <w:sz w:val="24"/>
          <w:szCs w:val="24"/>
          <w:lang w:eastAsia="ru-RU"/>
        </w:rPr>
        <w:t xml:space="preserve"> начисляются и учитываются по ф</w:t>
      </w:r>
      <w:r w:rsidR="0075283B" w:rsidRPr="00CF58B3">
        <w:rPr>
          <w:sz w:val="24"/>
          <w:szCs w:val="24"/>
          <w:lang w:eastAsia="ru-RU"/>
        </w:rPr>
        <w:t>акту обработки Банком операций</w:t>
      </w:r>
      <w:r w:rsidR="00383728" w:rsidRPr="00CF58B3">
        <w:rPr>
          <w:sz w:val="24"/>
          <w:szCs w:val="24"/>
          <w:lang w:eastAsia="ru-RU"/>
        </w:rPr>
        <w:t xml:space="preserve"> (отражения в выписке по счету) </w:t>
      </w:r>
      <w:r w:rsidR="0075283B" w:rsidRPr="00CF58B3">
        <w:rPr>
          <w:sz w:val="24"/>
          <w:szCs w:val="24"/>
          <w:lang w:eastAsia="ru-RU"/>
        </w:rPr>
        <w:t>в зависимости от категории торговой точки:</w:t>
      </w:r>
    </w:p>
    <w:p w:rsidR="0075283B" w:rsidRPr="00CF58B3" w:rsidRDefault="0075283B" w:rsidP="00E37A7F">
      <w:pPr>
        <w:pStyle w:val="afc"/>
        <w:numPr>
          <w:ilvl w:val="3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Покупки в компаниях-партнерах</w:t>
      </w:r>
      <w:r w:rsidRPr="00CF58B3">
        <w:rPr>
          <w:rStyle w:val="aff5"/>
          <w:sz w:val="24"/>
          <w:szCs w:val="24"/>
          <w:lang w:eastAsia="ru-RU"/>
        </w:rPr>
        <w:footnoteReference w:id="2"/>
      </w:r>
      <w:r w:rsidRPr="00CF58B3">
        <w:rPr>
          <w:sz w:val="24"/>
          <w:szCs w:val="24"/>
          <w:lang w:eastAsia="ru-RU"/>
        </w:rPr>
        <w:t xml:space="preserve">, в которых начисляются повышенное количество </w:t>
      </w:r>
      <w:r w:rsidR="00D06DFD" w:rsidRPr="00CF58B3">
        <w:rPr>
          <w:sz w:val="24"/>
          <w:szCs w:val="24"/>
          <w:lang w:eastAsia="ru-RU"/>
        </w:rPr>
        <w:t>Б</w:t>
      </w:r>
      <w:r w:rsidR="001D0FCF" w:rsidRPr="00CF58B3">
        <w:rPr>
          <w:sz w:val="24"/>
          <w:szCs w:val="24"/>
          <w:lang w:eastAsia="ru-RU"/>
        </w:rPr>
        <w:t>онусов</w:t>
      </w:r>
      <w:r w:rsidRPr="00CF58B3">
        <w:rPr>
          <w:sz w:val="24"/>
          <w:szCs w:val="24"/>
          <w:lang w:eastAsia="ru-RU"/>
        </w:rPr>
        <w:t>;</w:t>
      </w:r>
    </w:p>
    <w:p w:rsidR="0075283B" w:rsidRPr="00CF58B3" w:rsidRDefault="0075283B" w:rsidP="00E37A7F">
      <w:pPr>
        <w:pStyle w:val="afc"/>
        <w:numPr>
          <w:ilvl w:val="3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>Покупки в других компаниях.</w:t>
      </w:r>
    </w:p>
    <w:p w:rsidR="004C7267" w:rsidRPr="00CF58B3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При расчете транзакционных </w:t>
      </w:r>
      <w:r w:rsidR="001D0FCF" w:rsidRPr="00CF58B3">
        <w:rPr>
          <w:sz w:val="24"/>
          <w:szCs w:val="24"/>
          <w:lang w:eastAsia="ru-RU"/>
        </w:rPr>
        <w:t>Бонусов</w:t>
      </w:r>
      <w:r w:rsidRPr="00CF58B3">
        <w:rPr>
          <w:sz w:val="24"/>
          <w:szCs w:val="24"/>
          <w:lang w:eastAsia="ru-RU"/>
        </w:rPr>
        <w:t xml:space="preserve"> </w:t>
      </w:r>
    </w:p>
    <w:p w:rsidR="0088367D" w:rsidRPr="00CF58B3" w:rsidRDefault="0088367D" w:rsidP="004C7267">
      <w:pPr>
        <w:pStyle w:val="afc"/>
        <w:numPr>
          <w:ilvl w:val="3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t xml:space="preserve">за операции покупок </w:t>
      </w:r>
      <w:r w:rsidR="00A34CF2" w:rsidRPr="00CF58B3">
        <w:rPr>
          <w:sz w:val="24"/>
          <w:szCs w:val="24"/>
          <w:lang w:eastAsia="ru-RU"/>
        </w:rPr>
        <w:t xml:space="preserve">по картам, счета которых открыты </w:t>
      </w:r>
      <w:r w:rsidR="004C7267" w:rsidRPr="00CF58B3">
        <w:rPr>
          <w:sz w:val="24"/>
          <w:szCs w:val="24"/>
          <w:lang w:eastAsia="ru-RU"/>
        </w:rPr>
        <w:t xml:space="preserve">в рублях </w:t>
      </w:r>
      <w:r w:rsidRPr="00CF58B3">
        <w:rPr>
          <w:sz w:val="24"/>
          <w:szCs w:val="24"/>
          <w:lang w:eastAsia="ru-RU"/>
        </w:rPr>
        <w:t>сумма операции</w:t>
      </w:r>
      <w:r w:rsidR="001D0FCF" w:rsidRPr="00CF58B3">
        <w:rPr>
          <w:sz w:val="24"/>
          <w:szCs w:val="24"/>
          <w:lang w:eastAsia="ru-RU"/>
        </w:rPr>
        <w:t xml:space="preserve"> умножается на </w:t>
      </w:r>
      <w:r w:rsidR="00382343" w:rsidRPr="00CF58B3">
        <w:rPr>
          <w:rFonts w:eastAsiaTheme="majorEastAsia"/>
          <w:sz w:val="24"/>
          <w:szCs w:val="24"/>
          <w:lang w:eastAsia="en-US"/>
        </w:rPr>
        <w:t>п</w:t>
      </w:r>
      <w:r w:rsidR="001D0FCF" w:rsidRPr="00CF58B3">
        <w:rPr>
          <w:rFonts w:eastAsiaTheme="majorEastAsia"/>
          <w:sz w:val="24"/>
          <w:szCs w:val="24"/>
          <w:lang w:eastAsia="en-US"/>
        </w:rPr>
        <w:t xml:space="preserve">роцент начисления </w:t>
      </w:r>
      <w:r w:rsidR="00D06DFD" w:rsidRPr="00CF58B3">
        <w:rPr>
          <w:sz w:val="24"/>
          <w:szCs w:val="24"/>
          <w:lang w:eastAsia="ru-RU"/>
        </w:rPr>
        <w:t>Бонусов</w:t>
      </w:r>
      <w:r w:rsidR="001D0FCF" w:rsidRPr="00CF58B3">
        <w:rPr>
          <w:rFonts w:eastAsiaTheme="majorEastAsia"/>
          <w:sz w:val="24"/>
          <w:szCs w:val="24"/>
          <w:lang w:eastAsia="en-US"/>
        </w:rPr>
        <w:t xml:space="preserve"> за проведенные операции, </w:t>
      </w:r>
      <w:r w:rsidR="003F245A" w:rsidRPr="00CF58B3">
        <w:rPr>
          <w:sz w:val="24"/>
          <w:szCs w:val="24"/>
          <w:lang w:eastAsia="ru-RU"/>
        </w:rPr>
        <w:t>указанный в приложении № 1</w:t>
      </w:r>
      <w:r w:rsidR="001D0FCF" w:rsidRPr="00CF58B3">
        <w:rPr>
          <w:sz w:val="24"/>
          <w:szCs w:val="24"/>
          <w:lang w:eastAsia="ru-RU"/>
        </w:rPr>
        <w:t xml:space="preserve"> к настоящим Правилам</w:t>
      </w:r>
      <w:r w:rsidRPr="00CF58B3">
        <w:rPr>
          <w:sz w:val="24"/>
          <w:szCs w:val="24"/>
          <w:lang w:eastAsia="ru-RU"/>
        </w:rPr>
        <w:t>. Результат округляется</w:t>
      </w:r>
      <w:r w:rsidR="00383728" w:rsidRPr="00CF58B3">
        <w:rPr>
          <w:sz w:val="24"/>
          <w:szCs w:val="24"/>
          <w:lang w:eastAsia="ru-RU"/>
        </w:rPr>
        <w:t xml:space="preserve"> по правилам математического округления</w:t>
      </w:r>
      <w:r w:rsidRPr="00CF58B3">
        <w:rPr>
          <w:sz w:val="24"/>
          <w:szCs w:val="24"/>
          <w:lang w:eastAsia="ru-RU"/>
        </w:rPr>
        <w:t xml:space="preserve"> до </w:t>
      </w:r>
      <w:r w:rsidR="00383728" w:rsidRPr="00CF58B3">
        <w:rPr>
          <w:sz w:val="24"/>
          <w:szCs w:val="24"/>
          <w:lang w:eastAsia="ru-RU"/>
        </w:rPr>
        <w:t>сотых долей значения</w:t>
      </w:r>
      <w:r w:rsidRPr="00CF58B3">
        <w:rPr>
          <w:sz w:val="24"/>
          <w:szCs w:val="24"/>
          <w:lang w:eastAsia="ru-RU"/>
        </w:rPr>
        <w:t xml:space="preserve"> и полученное количество </w:t>
      </w:r>
      <w:r w:rsidR="00382343" w:rsidRPr="00CF58B3">
        <w:rPr>
          <w:sz w:val="24"/>
          <w:szCs w:val="24"/>
          <w:lang w:eastAsia="ru-RU"/>
        </w:rPr>
        <w:t>Бонусов</w:t>
      </w:r>
      <w:r w:rsidRPr="00CF58B3">
        <w:rPr>
          <w:sz w:val="24"/>
          <w:szCs w:val="24"/>
          <w:lang w:eastAsia="ru-RU"/>
        </w:rPr>
        <w:t xml:space="preserve"> начисляется Клиенту. </w:t>
      </w:r>
    </w:p>
    <w:p w:rsidR="004C7267" w:rsidRPr="00A30F69" w:rsidRDefault="004C7267" w:rsidP="004C7267">
      <w:pPr>
        <w:pStyle w:val="afc"/>
        <w:numPr>
          <w:ilvl w:val="3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CF58B3">
        <w:rPr>
          <w:sz w:val="24"/>
          <w:szCs w:val="24"/>
          <w:lang w:eastAsia="ru-RU"/>
        </w:rPr>
        <w:lastRenderedPageBreak/>
        <w:t>за операции покупок</w:t>
      </w:r>
      <w:r w:rsidR="00A34CF2" w:rsidRPr="00CF58B3">
        <w:rPr>
          <w:sz w:val="24"/>
          <w:szCs w:val="24"/>
          <w:lang w:eastAsia="ru-RU"/>
        </w:rPr>
        <w:t xml:space="preserve"> по картам, счета которых открыты</w:t>
      </w:r>
      <w:r w:rsidRPr="00CF58B3">
        <w:rPr>
          <w:sz w:val="24"/>
          <w:szCs w:val="24"/>
          <w:lang w:eastAsia="ru-RU"/>
        </w:rPr>
        <w:t xml:space="preserve"> в валюте</w:t>
      </w:r>
      <w:r w:rsidR="00313DA9" w:rsidRPr="00CF58B3">
        <w:rPr>
          <w:sz w:val="24"/>
          <w:szCs w:val="24"/>
          <w:lang w:eastAsia="ru-RU"/>
        </w:rPr>
        <w:t>, отличной от рублей РФ,</w:t>
      </w:r>
      <w:r w:rsidRPr="00CF58B3">
        <w:rPr>
          <w:sz w:val="24"/>
          <w:szCs w:val="24"/>
          <w:lang w:eastAsia="ru-RU"/>
        </w:rPr>
        <w:t xml:space="preserve"> сумма операции умножается на </w:t>
      </w:r>
      <w:r w:rsidRPr="00CF58B3">
        <w:rPr>
          <w:rFonts w:eastAsiaTheme="majorEastAsia"/>
          <w:sz w:val="24"/>
          <w:szCs w:val="24"/>
          <w:lang w:eastAsia="en-US"/>
        </w:rPr>
        <w:t xml:space="preserve">процент начисления </w:t>
      </w:r>
      <w:r w:rsidRPr="00CF58B3">
        <w:rPr>
          <w:sz w:val="24"/>
          <w:szCs w:val="24"/>
          <w:lang w:eastAsia="ru-RU"/>
        </w:rPr>
        <w:t>Бонусов</w:t>
      </w:r>
      <w:r w:rsidRPr="00CF58B3">
        <w:rPr>
          <w:rFonts w:eastAsiaTheme="majorEastAsia"/>
          <w:sz w:val="24"/>
          <w:szCs w:val="24"/>
          <w:lang w:eastAsia="en-US"/>
        </w:rPr>
        <w:t xml:space="preserve"> за проведенные операции, </w:t>
      </w:r>
      <w:r w:rsidRPr="00CF58B3">
        <w:rPr>
          <w:sz w:val="24"/>
          <w:szCs w:val="24"/>
          <w:lang w:eastAsia="ru-RU"/>
        </w:rPr>
        <w:t>указанный в приложении № 1 к настоящим Правилам и умножается на курс</w:t>
      </w:r>
      <w:r w:rsidR="00A30F69" w:rsidRPr="00CF58B3">
        <w:rPr>
          <w:sz w:val="24"/>
          <w:szCs w:val="24"/>
          <w:lang w:eastAsia="ru-RU"/>
        </w:rPr>
        <w:t xml:space="preserve"> </w:t>
      </w:r>
      <w:r w:rsidR="00F62D0F" w:rsidRPr="00CF58B3">
        <w:rPr>
          <w:sz w:val="24"/>
          <w:szCs w:val="24"/>
          <w:lang w:eastAsia="ru-RU"/>
        </w:rPr>
        <w:t>Банка России</w:t>
      </w:r>
      <w:r w:rsidR="00A30F69" w:rsidRPr="00CF58B3">
        <w:rPr>
          <w:sz w:val="24"/>
          <w:szCs w:val="24"/>
          <w:lang w:eastAsia="ru-RU"/>
        </w:rPr>
        <w:t xml:space="preserve"> валюты счета карты</w:t>
      </w:r>
      <w:r w:rsidRPr="00CF58B3">
        <w:rPr>
          <w:sz w:val="24"/>
          <w:szCs w:val="24"/>
          <w:lang w:eastAsia="ru-RU"/>
        </w:rPr>
        <w:t xml:space="preserve"> (из валюты счета карты в рубли) на дату отражения операции по карточному счету. Результат округляется по правилам математического округления до</w:t>
      </w:r>
      <w:r w:rsidRPr="00A30F69">
        <w:rPr>
          <w:sz w:val="24"/>
          <w:szCs w:val="24"/>
          <w:lang w:eastAsia="ru-RU"/>
        </w:rPr>
        <w:t xml:space="preserve"> сотых долей значения и полученное количество Бонусов начисляется Клиенту. </w:t>
      </w:r>
    </w:p>
    <w:p w:rsidR="0088367D" w:rsidRPr="000C3205" w:rsidRDefault="00382343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Бонусы по операциям по картам становятся </w:t>
      </w:r>
      <w:r w:rsidR="0088367D" w:rsidRPr="000C3205">
        <w:rPr>
          <w:sz w:val="24"/>
          <w:szCs w:val="24"/>
          <w:lang w:eastAsia="ru-RU"/>
        </w:rPr>
        <w:t>доступны Клиенту и могут быть</w:t>
      </w:r>
      <w:r w:rsidRPr="000C3205">
        <w:rPr>
          <w:sz w:val="24"/>
          <w:szCs w:val="24"/>
          <w:lang w:eastAsia="ru-RU"/>
        </w:rPr>
        <w:t xml:space="preserve"> им использованы только после обработки Банком операций по специальному карточному счету</w:t>
      </w:r>
      <w:r w:rsidR="00771191" w:rsidRPr="000C3205">
        <w:rPr>
          <w:sz w:val="24"/>
          <w:szCs w:val="24"/>
          <w:lang w:eastAsia="ru-RU"/>
        </w:rPr>
        <w:t>, но не ранее даты, указанной в п.</w:t>
      </w:r>
      <w:r w:rsidR="00771191" w:rsidRPr="000C3205">
        <w:rPr>
          <w:sz w:val="24"/>
          <w:szCs w:val="24"/>
          <w:lang w:eastAsia="ru-RU"/>
        </w:rPr>
        <w:fldChar w:fldCharType="begin"/>
      </w:r>
      <w:r w:rsidR="00771191" w:rsidRPr="000C3205">
        <w:rPr>
          <w:sz w:val="24"/>
          <w:szCs w:val="24"/>
          <w:lang w:eastAsia="ru-RU"/>
        </w:rPr>
        <w:instrText xml:space="preserve"> REF _Ref34348722 \r \h </w:instrText>
      </w:r>
      <w:r w:rsidR="000C3205">
        <w:rPr>
          <w:sz w:val="24"/>
          <w:szCs w:val="24"/>
          <w:lang w:eastAsia="ru-RU"/>
        </w:rPr>
        <w:instrText xml:space="preserve"> \* MERGEFORMAT </w:instrText>
      </w:r>
      <w:r w:rsidR="00771191" w:rsidRPr="000C3205">
        <w:rPr>
          <w:sz w:val="24"/>
          <w:szCs w:val="24"/>
          <w:lang w:eastAsia="ru-RU"/>
        </w:rPr>
      </w:r>
      <w:r w:rsidR="00771191" w:rsidRPr="000C3205">
        <w:rPr>
          <w:sz w:val="24"/>
          <w:szCs w:val="24"/>
          <w:lang w:eastAsia="ru-RU"/>
        </w:rPr>
        <w:fldChar w:fldCharType="separate"/>
      </w:r>
      <w:r w:rsidR="005559F6">
        <w:rPr>
          <w:sz w:val="24"/>
          <w:szCs w:val="24"/>
          <w:lang w:eastAsia="ru-RU"/>
        </w:rPr>
        <w:t>7.3.2</w:t>
      </w:r>
      <w:r w:rsidR="00771191" w:rsidRPr="000C3205">
        <w:rPr>
          <w:sz w:val="24"/>
          <w:szCs w:val="24"/>
          <w:lang w:eastAsia="ru-RU"/>
        </w:rPr>
        <w:fldChar w:fldCharType="end"/>
      </w:r>
      <w:r w:rsidRPr="000C3205">
        <w:rPr>
          <w:sz w:val="24"/>
          <w:szCs w:val="24"/>
          <w:lang w:eastAsia="ru-RU"/>
        </w:rPr>
        <w:t xml:space="preserve">. </w:t>
      </w:r>
    </w:p>
    <w:p w:rsidR="0088367D" w:rsidRPr="000C3205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bookmarkStart w:id="6" w:name="_Ref529271257"/>
      <w:r w:rsidRPr="000C3205">
        <w:rPr>
          <w:sz w:val="24"/>
          <w:szCs w:val="24"/>
          <w:lang w:eastAsia="ru-RU"/>
        </w:rPr>
        <w:t xml:space="preserve">Максимальное количество </w:t>
      </w:r>
      <w:r w:rsidR="00382343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>, которое может быть начислено за транзакции в течение каждого расчетного периода по каждой Карте</w:t>
      </w:r>
      <w:r w:rsidR="00365CD9" w:rsidRPr="000C3205">
        <w:rPr>
          <w:sz w:val="24"/>
          <w:szCs w:val="24"/>
          <w:lang w:eastAsia="ru-RU"/>
        </w:rPr>
        <w:t xml:space="preserve"> указано в Приложении №1 к настоящим Правилам</w:t>
      </w:r>
      <w:r w:rsidRPr="000C3205">
        <w:rPr>
          <w:sz w:val="24"/>
          <w:szCs w:val="24"/>
          <w:lang w:eastAsia="ru-RU"/>
        </w:rPr>
        <w:t>.</w:t>
      </w:r>
      <w:bookmarkEnd w:id="6"/>
      <w:r w:rsidRPr="000C3205">
        <w:rPr>
          <w:sz w:val="24"/>
          <w:szCs w:val="24"/>
          <w:lang w:eastAsia="ru-RU"/>
        </w:rPr>
        <w:t xml:space="preserve"> </w:t>
      </w:r>
    </w:p>
    <w:p w:rsidR="0088367D" w:rsidRPr="000C3205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Если количество рассчитанных транзакционных </w:t>
      </w:r>
      <w:r w:rsidR="00382343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в расчетный период превышает установленный в п.</w:t>
      </w:r>
      <w:r w:rsidR="00365CD9" w:rsidRPr="000C3205">
        <w:rPr>
          <w:sz w:val="24"/>
          <w:szCs w:val="24"/>
          <w:lang w:eastAsia="ru-RU"/>
        </w:rPr>
        <w:fldChar w:fldCharType="begin"/>
      </w:r>
      <w:r w:rsidR="00365CD9" w:rsidRPr="000C3205">
        <w:rPr>
          <w:sz w:val="24"/>
          <w:szCs w:val="24"/>
          <w:lang w:eastAsia="ru-RU"/>
        </w:rPr>
        <w:instrText xml:space="preserve"> REF _Ref529271257 \r \h </w:instrText>
      </w:r>
      <w:r w:rsidR="00274687" w:rsidRPr="000C3205">
        <w:rPr>
          <w:sz w:val="24"/>
          <w:szCs w:val="24"/>
          <w:lang w:eastAsia="ru-RU"/>
        </w:rPr>
        <w:instrText xml:space="preserve"> \* MERGEFORMAT </w:instrText>
      </w:r>
      <w:r w:rsidR="00365CD9" w:rsidRPr="000C3205">
        <w:rPr>
          <w:sz w:val="24"/>
          <w:szCs w:val="24"/>
          <w:lang w:eastAsia="ru-RU"/>
        </w:rPr>
      </w:r>
      <w:r w:rsidR="00365CD9" w:rsidRPr="000C3205">
        <w:rPr>
          <w:sz w:val="24"/>
          <w:szCs w:val="24"/>
          <w:lang w:eastAsia="ru-RU"/>
        </w:rPr>
        <w:fldChar w:fldCharType="separate"/>
      </w:r>
      <w:r w:rsidR="005559F6">
        <w:rPr>
          <w:sz w:val="24"/>
          <w:szCs w:val="24"/>
          <w:lang w:eastAsia="ru-RU"/>
        </w:rPr>
        <w:t>5.1.4</w:t>
      </w:r>
      <w:r w:rsidR="00365CD9" w:rsidRPr="000C3205">
        <w:rPr>
          <w:sz w:val="24"/>
          <w:szCs w:val="24"/>
          <w:lang w:eastAsia="ru-RU"/>
        </w:rPr>
        <w:fldChar w:fldCharType="end"/>
      </w:r>
      <w:r w:rsidRPr="000C3205">
        <w:rPr>
          <w:sz w:val="24"/>
          <w:szCs w:val="24"/>
          <w:lang w:eastAsia="ru-RU"/>
        </w:rPr>
        <w:t xml:space="preserve"> настоящей Программы лимит, все рассчитанные транзакционные </w:t>
      </w:r>
      <w:r w:rsidR="00E8559C" w:rsidRPr="000C3205">
        <w:rPr>
          <w:sz w:val="24"/>
          <w:szCs w:val="24"/>
          <w:lang w:eastAsia="ru-RU"/>
        </w:rPr>
        <w:t>Бонусы</w:t>
      </w:r>
      <w:r w:rsidRPr="000C3205">
        <w:rPr>
          <w:sz w:val="24"/>
          <w:szCs w:val="24"/>
          <w:lang w:eastAsia="ru-RU"/>
        </w:rPr>
        <w:t xml:space="preserve"> сверх лимита сгорают и не подлежат начислению ни в текущий, ни в последующие расчетные периоды. </w:t>
      </w:r>
    </w:p>
    <w:p w:rsidR="0088367D" w:rsidRPr="000C3205" w:rsidRDefault="00382343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Призовые,</w:t>
      </w:r>
      <w:r w:rsidR="0088367D" w:rsidRPr="000C3205">
        <w:rPr>
          <w:sz w:val="24"/>
          <w:szCs w:val="24"/>
          <w:lang w:eastAsia="ru-RU"/>
        </w:rPr>
        <w:t xml:space="preserve"> приветственные</w:t>
      </w:r>
      <w:r w:rsidRPr="000C3205">
        <w:rPr>
          <w:sz w:val="24"/>
          <w:szCs w:val="24"/>
          <w:lang w:eastAsia="ru-RU"/>
        </w:rPr>
        <w:t>, премиальные</w:t>
      </w:r>
      <w:r w:rsidR="00464F56" w:rsidRPr="000C3205">
        <w:rPr>
          <w:sz w:val="24"/>
          <w:szCs w:val="24"/>
          <w:lang w:eastAsia="ru-RU"/>
        </w:rPr>
        <w:t xml:space="preserve"> </w:t>
      </w:r>
      <w:r w:rsidR="00E8559C" w:rsidRPr="000C3205">
        <w:rPr>
          <w:sz w:val="24"/>
          <w:szCs w:val="24"/>
          <w:lang w:eastAsia="ru-RU"/>
        </w:rPr>
        <w:t>Бонусы</w:t>
      </w:r>
      <w:r w:rsidR="0088367D" w:rsidRPr="000C3205">
        <w:rPr>
          <w:sz w:val="24"/>
          <w:szCs w:val="24"/>
          <w:lang w:eastAsia="ru-RU"/>
        </w:rPr>
        <w:t>, начисл</w:t>
      </w:r>
      <w:r w:rsidR="00383728" w:rsidRPr="000C3205">
        <w:rPr>
          <w:sz w:val="24"/>
          <w:szCs w:val="24"/>
          <w:lang w:eastAsia="ru-RU"/>
        </w:rPr>
        <w:t>яются в порядке, предусмотренно</w:t>
      </w:r>
      <w:r w:rsidR="001F6368" w:rsidRPr="000C3205">
        <w:rPr>
          <w:sz w:val="24"/>
          <w:szCs w:val="24"/>
          <w:lang w:eastAsia="ru-RU"/>
        </w:rPr>
        <w:t>м</w:t>
      </w:r>
      <w:r w:rsidR="0088367D" w:rsidRPr="000C3205">
        <w:rPr>
          <w:sz w:val="24"/>
          <w:szCs w:val="24"/>
          <w:lang w:eastAsia="ru-RU"/>
        </w:rPr>
        <w:t xml:space="preserve"> правилами </w:t>
      </w:r>
      <w:r w:rsidR="00383728" w:rsidRPr="000C3205">
        <w:rPr>
          <w:sz w:val="24"/>
          <w:szCs w:val="24"/>
          <w:lang w:eastAsia="ru-RU"/>
        </w:rPr>
        <w:t xml:space="preserve">проводимого в Банке </w:t>
      </w:r>
      <w:r w:rsidR="0088367D" w:rsidRPr="000C3205">
        <w:rPr>
          <w:sz w:val="24"/>
          <w:szCs w:val="24"/>
          <w:lang w:eastAsia="ru-RU"/>
        </w:rPr>
        <w:t>Мероприятия</w:t>
      </w:r>
      <w:r w:rsidR="001F6368" w:rsidRPr="000C3205">
        <w:rPr>
          <w:sz w:val="24"/>
          <w:szCs w:val="24"/>
          <w:lang w:eastAsia="ru-RU"/>
        </w:rPr>
        <w:t>, а также тарифами Банка</w:t>
      </w:r>
      <w:r w:rsidR="0088367D" w:rsidRPr="000C3205">
        <w:rPr>
          <w:sz w:val="24"/>
          <w:szCs w:val="24"/>
          <w:lang w:eastAsia="ru-RU"/>
        </w:rPr>
        <w:t>. Лимит на начисление пр</w:t>
      </w:r>
      <w:r w:rsidR="00FB0F68" w:rsidRPr="000C3205">
        <w:rPr>
          <w:sz w:val="24"/>
          <w:szCs w:val="24"/>
          <w:lang w:eastAsia="ru-RU"/>
        </w:rPr>
        <w:t xml:space="preserve">изовых </w:t>
      </w:r>
      <w:r w:rsidR="00E8559C" w:rsidRPr="000C3205">
        <w:rPr>
          <w:sz w:val="24"/>
          <w:szCs w:val="24"/>
          <w:lang w:eastAsia="ru-RU"/>
        </w:rPr>
        <w:t>Бонусов</w:t>
      </w:r>
      <w:r w:rsidR="00FB0F68" w:rsidRPr="000C3205">
        <w:rPr>
          <w:sz w:val="24"/>
          <w:szCs w:val="24"/>
          <w:lang w:eastAsia="ru-RU"/>
        </w:rPr>
        <w:t xml:space="preserve"> не устанавливается</w:t>
      </w:r>
      <w:r w:rsidR="00464F56" w:rsidRPr="000C3205">
        <w:rPr>
          <w:sz w:val="24"/>
          <w:szCs w:val="24"/>
          <w:lang w:eastAsia="ru-RU"/>
        </w:rPr>
        <w:t xml:space="preserve">. </w:t>
      </w:r>
    </w:p>
    <w:p w:rsidR="0088367D" w:rsidRPr="000C3205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Корректировочные </w:t>
      </w:r>
      <w:r w:rsidR="00E8559C" w:rsidRPr="000C3205">
        <w:rPr>
          <w:sz w:val="24"/>
          <w:szCs w:val="24"/>
          <w:lang w:eastAsia="ru-RU"/>
        </w:rPr>
        <w:t>Бонусы</w:t>
      </w:r>
      <w:r w:rsidRPr="000C3205">
        <w:rPr>
          <w:sz w:val="24"/>
          <w:szCs w:val="24"/>
          <w:lang w:eastAsia="ru-RU"/>
        </w:rPr>
        <w:t xml:space="preserve"> начисляются</w:t>
      </w:r>
      <w:r w:rsidR="007C6EA7" w:rsidRPr="000C3205">
        <w:rPr>
          <w:sz w:val="24"/>
          <w:szCs w:val="24"/>
          <w:lang w:eastAsia="ru-RU"/>
        </w:rPr>
        <w:t xml:space="preserve"> </w:t>
      </w:r>
      <w:r w:rsidR="00E8559C" w:rsidRPr="000C3205">
        <w:rPr>
          <w:sz w:val="24"/>
          <w:szCs w:val="24"/>
          <w:lang w:eastAsia="ru-RU"/>
        </w:rPr>
        <w:t>/</w:t>
      </w:r>
      <w:r w:rsidR="007C6EA7" w:rsidRPr="000C3205">
        <w:rPr>
          <w:sz w:val="24"/>
          <w:szCs w:val="24"/>
          <w:lang w:eastAsia="ru-RU"/>
        </w:rPr>
        <w:t xml:space="preserve"> списываются</w:t>
      </w:r>
      <w:r w:rsidRPr="000C3205">
        <w:rPr>
          <w:sz w:val="24"/>
          <w:szCs w:val="24"/>
          <w:lang w:eastAsia="ru-RU"/>
        </w:rPr>
        <w:t xml:space="preserve"> в следующих случаях: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33"/>
        <w:ind w:left="709" w:hanging="283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при некорректности настроек, в </w:t>
      </w:r>
      <w:proofErr w:type="spellStart"/>
      <w:r w:rsidRPr="000C3205">
        <w:rPr>
          <w:sz w:val="24"/>
          <w:szCs w:val="24"/>
          <w:lang w:eastAsia="ru-RU"/>
        </w:rPr>
        <w:t>т.ч</w:t>
      </w:r>
      <w:proofErr w:type="spellEnd"/>
      <w:r w:rsidRPr="000C3205">
        <w:rPr>
          <w:sz w:val="24"/>
          <w:szCs w:val="24"/>
          <w:lang w:eastAsia="ru-RU"/>
        </w:rPr>
        <w:t xml:space="preserve">. в результате технического сбоя, повлекших ошибки в начислении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33"/>
        <w:ind w:left="709" w:hanging="283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предоставления Клиенту некорректных сведений о размерах, сроках проведения операций, размере начисляемых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за операции или в рамках Мероприятий;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в иных случаях. </w:t>
      </w:r>
    </w:p>
    <w:p w:rsidR="0088367D" w:rsidRPr="00F835BC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Все </w:t>
      </w:r>
      <w:r w:rsidR="00E8559C" w:rsidRPr="000C3205">
        <w:rPr>
          <w:sz w:val="24"/>
          <w:szCs w:val="24"/>
          <w:lang w:eastAsia="ru-RU"/>
        </w:rPr>
        <w:t>Бонусы</w:t>
      </w:r>
      <w:r w:rsidRPr="000C3205">
        <w:rPr>
          <w:sz w:val="24"/>
          <w:szCs w:val="24"/>
          <w:lang w:eastAsia="ru-RU"/>
        </w:rPr>
        <w:t xml:space="preserve"> начисляются и учитывают</w:t>
      </w:r>
      <w:r w:rsidR="00FA64EC">
        <w:rPr>
          <w:sz w:val="24"/>
          <w:szCs w:val="24"/>
          <w:lang w:eastAsia="ru-RU"/>
        </w:rPr>
        <w:t>ся</w:t>
      </w:r>
      <w:r w:rsidR="00FB0F68" w:rsidRPr="000C3205">
        <w:rPr>
          <w:sz w:val="24"/>
          <w:szCs w:val="24"/>
          <w:lang w:eastAsia="ru-RU"/>
        </w:rPr>
        <w:t xml:space="preserve"> </w:t>
      </w:r>
      <w:r w:rsidR="00C169F7">
        <w:rPr>
          <w:sz w:val="24"/>
          <w:szCs w:val="24"/>
          <w:lang w:eastAsia="ru-RU"/>
        </w:rPr>
        <w:t xml:space="preserve">суммарно </w:t>
      </w:r>
      <w:r w:rsidR="00C169F7" w:rsidRPr="00F835BC">
        <w:rPr>
          <w:sz w:val="24"/>
          <w:szCs w:val="24"/>
          <w:lang w:eastAsia="ru-RU"/>
        </w:rPr>
        <w:t>по всем Договорам клиента</w:t>
      </w:r>
      <w:r w:rsidRPr="00F835BC">
        <w:rPr>
          <w:sz w:val="24"/>
          <w:szCs w:val="24"/>
          <w:lang w:eastAsia="ru-RU"/>
        </w:rPr>
        <w:t xml:space="preserve">. </w:t>
      </w:r>
    </w:p>
    <w:p w:rsidR="0088367D" w:rsidRPr="00F835BC" w:rsidRDefault="00E8559C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F835BC">
        <w:rPr>
          <w:sz w:val="24"/>
          <w:szCs w:val="24"/>
          <w:lang w:eastAsia="ru-RU"/>
        </w:rPr>
        <w:t>Бонусы</w:t>
      </w:r>
      <w:r w:rsidR="0088367D" w:rsidRPr="00F835BC">
        <w:rPr>
          <w:sz w:val="24"/>
          <w:szCs w:val="24"/>
          <w:lang w:eastAsia="ru-RU"/>
        </w:rPr>
        <w:t xml:space="preserve"> имеют о</w:t>
      </w:r>
      <w:r w:rsidR="00FB0F68" w:rsidRPr="00F835BC">
        <w:rPr>
          <w:sz w:val="24"/>
          <w:szCs w:val="24"/>
          <w:lang w:eastAsia="ru-RU"/>
        </w:rPr>
        <w:t xml:space="preserve">граничение по сроку действия </w:t>
      </w:r>
      <w:r w:rsidR="00C169F7" w:rsidRPr="00F835BC">
        <w:rPr>
          <w:sz w:val="24"/>
          <w:szCs w:val="24"/>
          <w:lang w:eastAsia="ru-RU"/>
        </w:rPr>
        <w:t xml:space="preserve">в </w:t>
      </w:r>
      <w:r w:rsidR="00C445A2" w:rsidRPr="00F835BC">
        <w:rPr>
          <w:sz w:val="24"/>
          <w:szCs w:val="24"/>
          <w:lang w:eastAsia="ru-RU"/>
        </w:rPr>
        <w:t xml:space="preserve">истечение </w:t>
      </w:r>
      <w:r w:rsidR="00FB0F68" w:rsidRPr="00F835BC">
        <w:rPr>
          <w:sz w:val="24"/>
          <w:szCs w:val="24"/>
          <w:lang w:eastAsia="ru-RU"/>
        </w:rPr>
        <w:t>2</w:t>
      </w:r>
      <w:r w:rsidR="0088367D" w:rsidRPr="00F835BC">
        <w:rPr>
          <w:sz w:val="24"/>
          <w:szCs w:val="24"/>
          <w:lang w:eastAsia="ru-RU"/>
        </w:rPr>
        <w:t xml:space="preserve"> (</w:t>
      </w:r>
      <w:r w:rsidR="00C445A2" w:rsidRPr="00F835BC">
        <w:rPr>
          <w:sz w:val="24"/>
          <w:szCs w:val="24"/>
          <w:lang w:eastAsia="ru-RU"/>
        </w:rPr>
        <w:t>двух</w:t>
      </w:r>
      <w:r w:rsidR="0088367D" w:rsidRPr="00F835BC">
        <w:rPr>
          <w:sz w:val="24"/>
          <w:szCs w:val="24"/>
          <w:lang w:eastAsia="ru-RU"/>
        </w:rPr>
        <w:t xml:space="preserve">) </w:t>
      </w:r>
      <w:r w:rsidR="00C445A2" w:rsidRPr="00F835BC">
        <w:rPr>
          <w:sz w:val="24"/>
          <w:szCs w:val="24"/>
          <w:lang w:eastAsia="ru-RU"/>
        </w:rPr>
        <w:t>лет</w:t>
      </w:r>
      <w:r w:rsidR="004B742F" w:rsidRPr="00F835BC">
        <w:rPr>
          <w:sz w:val="24"/>
          <w:szCs w:val="24"/>
          <w:lang w:eastAsia="ru-RU"/>
        </w:rPr>
        <w:t xml:space="preserve"> с момента их начисления</w:t>
      </w:r>
      <w:r w:rsidR="0088367D" w:rsidRPr="00F835BC">
        <w:rPr>
          <w:sz w:val="24"/>
          <w:szCs w:val="24"/>
          <w:lang w:eastAsia="ru-RU"/>
        </w:rPr>
        <w:t xml:space="preserve">. </w:t>
      </w:r>
      <w:r w:rsidR="008A1A4C" w:rsidRPr="00F835BC">
        <w:rPr>
          <w:sz w:val="24"/>
          <w:szCs w:val="24"/>
          <w:lang w:eastAsia="ru-RU"/>
        </w:rPr>
        <w:t>По бонусам, начисленным до 05.05.2022 г. по решению Банка может быть увеличен.</w:t>
      </w:r>
    </w:p>
    <w:p w:rsidR="0088367D" w:rsidRPr="00F835BC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F835BC">
        <w:rPr>
          <w:sz w:val="24"/>
          <w:szCs w:val="24"/>
          <w:lang w:eastAsia="ru-RU"/>
        </w:rPr>
        <w:t xml:space="preserve">Банк не начисляет </w:t>
      </w:r>
      <w:r w:rsidR="00E8559C" w:rsidRPr="00F835BC">
        <w:rPr>
          <w:sz w:val="24"/>
          <w:szCs w:val="24"/>
          <w:lang w:eastAsia="ru-RU"/>
        </w:rPr>
        <w:t>Бонусы</w:t>
      </w:r>
      <w:r w:rsidRPr="00F835BC">
        <w:rPr>
          <w:sz w:val="24"/>
          <w:szCs w:val="24"/>
          <w:lang w:eastAsia="ru-RU"/>
        </w:rPr>
        <w:t xml:space="preserve"> за следующие расходные и приходные операции, совершенные с использованием Карты: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любые операции пополнения Карты Клиента;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получение наличных денежных средств в банкоматах и в кассах кредитных организаций;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расходные операции с использованием Карты,</w:t>
      </w:r>
      <w:r w:rsidR="004B742F" w:rsidRPr="000C3205">
        <w:rPr>
          <w:sz w:val="24"/>
          <w:szCs w:val="24"/>
          <w:lang w:eastAsia="ru-RU"/>
        </w:rPr>
        <w:t xml:space="preserve"> приравненные к снятию наличных</w:t>
      </w:r>
      <w:r w:rsidRPr="000C3205">
        <w:rPr>
          <w:sz w:val="24"/>
          <w:szCs w:val="24"/>
          <w:lang w:eastAsia="ru-RU"/>
        </w:rPr>
        <w:t xml:space="preserve">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перевод денежных средств c Карты (в том числе банковские переводы, переводы по реквизитам карты другой кредитной организации и другие типы переводов); </w:t>
      </w:r>
    </w:p>
    <w:p w:rsidR="0088367D" w:rsidRPr="000C3205" w:rsidRDefault="0088367D" w:rsidP="00E37A7F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операции по </w:t>
      </w:r>
      <w:r w:rsidR="004B742F" w:rsidRPr="000C3205">
        <w:rPr>
          <w:sz w:val="24"/>
          <w:szCs w:val="24"/>
          <w:lang w:eastAsia="ru-RU"/>
        </w:rPr>
        <w:t>Карте</w:t>
      </w:r>
      <w:r w:rsidRPr="000C3205">
        <w:rPr>
          <w:sz w:val="24"/>
          <w:szCs w:val="24"/>
          <w:lang w:eastAsia="ru-RU"/>
        </w:rPr>
        <w:t xml:space="preserve"> в Интернет-Банке, Мобильном Банке и мобильных приложениях Банка, приравненные к операциям снятия наличных (платежи и переводы на электронные средства платежа, погашение кредитов, переводы и т.д.); </w:t>
      </w:r>
    </w:p>
    <w:p w:rsidR="00C00C04" w:rsidRPr="000C3205" w:rsidRDefault="0088367D" w:rsidP="00E8559C">
      <w:pPr>
        <w:pStyle w:val="afc"/>
        <w:numPr>
          <w:ilvl w:val="0"/>
          <w:numId w:val="9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операции со следующими МСС:</w:t>
      </w:r>
    </w:p>
    <w:p w:rsidR="00C00C04" w:rsidRPr="000C3205" w:rsidRDefault="00C655C4" w:rsidP="00E8559C">
      <w:pPr>
        <w:pStyle w:val="afc"/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4812</w:t>
      </w:r>
      <w:r w:rsidR="00C00C04" w:rsidRPr="000C3205">
        <w:rPr>
          <w:sz w:val="24"/>
          <w:szCs w:val="24"/>
          <w:lang w:eastAsia="ru-RU"/>
        </w:rPr>
        <w:t>, 4814 Телекоммуникационное оборудование, включая продажу телефонов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4829</w:t>
      </w:r>
      <w:r w:rsidR="004D1B3A" w:rsidRPr="000C3205">
        <w:rPr>
          <w:sz w:val="24"/>
          <w:szCs w:val="24"/>
          <w:lang w:eastAsia="ru-RU"/>
        </w:rPr>
        <w:t>, 6050, 6531-6538</w:t>
      </w:r>
      <w:r w:rsidR="004D1B3A" w:rsidRPr="000C3205">
        <w:rPr>
          <w:sz w:val="24"/>
          <w:szCs w:val="24"/>
        </w:rPr>
        <w:t xml:space="preserve"> </w:t>
      </w:r>
      <w:r w:rsidR="004D1B3A" w:rsidRPr="000C3205">
        <w:rPr>
          <w:sz w:val="24"/>
          <w:szCs w:val="24"/>
          <w:lang w:eastAsia="ru-RU"/>
        </w:rPr>
        <w:t>Денежные переводы</w:t>
      </w:r>
    </w:p>
    <w:p w:rsidR="004D1B3A" w:rsidRPr="000C3205" w:rsidRDefault="00C655C4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5933</w:t>
      </w:r>
      <w:r w:rsidR="004D1B3A" w:rsidRPr="000C3205">
        <w:rPr>
          <w:sz w:val="24"/>
          <w:szCs w:val="24"/>
          <w:lang w:eastAsia="ru-RU"/>
        </w:rPr>
        <w:t xml:space="preserve"> Ломбарды</w:t>
      </w:r>
      <w:r w:rsidRPr="000C3205">
        <w:rPr>
          <w:sz w:val="24"/>
          <w:szCs w:val="24"/>
          <w:lang w:eastAsia="ru-RU"/>
        </w:rPr>
        <w:t xml:space="preserve"> </w:t>
      </w:r>
    </w:p>
    <w:p w:rsidR="004D1B3A" w:rsidRPr="000C3205" w:rsidRDefault="00C655C4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6010</w:t>
      </w:r>
      <w:r w:rsidR="004D1B3A" w:rsidRPr="000C3205">
        <w:rPr>
          <w:sz w:val="24"/>
          <w:szCs w:val="24"/>
          <w:lang w:eastAsia="ru-RU"/>
        </w:rPr>
        <w:t xml:space="preserve">, 6011, 6529, 6530 Операции по снятию/пополнению наличных 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0C3205">
        <w:rPr>
          <w:sz w:val="24"/>
          <w:szCs w:val="24"/>
          <w:lang w:eastAsia="ru-RU"/>
        </w:rPr>
        <w:t>6012</w:t>
      </w:r>
      <w:r w:rsidR="004D1B3A" w:rsidRPr="000C3205">
        <w:rPr>
          <w:sz w:val="24"/>
          <w:szCs w:val="24"/>
          <w:lang w:eastAsia="ru-RU"/>
        </w:rPr>
        <w:t xml:space="preserve"> Т</w:t>
      </w:r>
      <w:r w:rsidR="004D1B3A" w:rsidRPr="000C3205">
        <w:rPr>
          <w:sz w:val="24"/>
          <w:szCs w:val="24"/>
        </w:rPr>
        <w:t>орговля и услуги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6051</w:t>
      </w:r>
      <w:r w:rsidR="004D1B3A" w:rsidRPr="000C3205">
        <w:rPr>
          <w:sz w:val="24"/>
          <w:szCs w:val="24"/>
          <w:lang w:eastAsia="ru-RU"/>
        </w:rPr>
        <w:t xml:space="preserve"> </w:t>
      </w:r>
      <w:proofErr w:type="spellStart"/>
      <w:r w:rsidR="004D1B3A" w:rsidRPr="000C3205">
        <w:rPr>
          <w:sz w:val="24"/>
          <w:szCs w:val="24"/>
          <w:lang w:eastAsia="ru-RU"/>
        </w:rPr>
        <w:t>Квази</w:t>
      </w:r>
      <w:proofErr w:type="spellEnd"/>
      <w:r w:rsidR="004D1B3A" w:rsidRPr="000C3205">
        <w:rPr>
          <w:sz w:val="24"/>
          <w:szCs w:val="24"/>
          <w:lang w:eastAsia="ru-RU"/>
        </w:rPr>
        <w:t>-кэш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6211</w:t>
      </w:r>
      <w:r w:rsidR="004D1B3A" w:rsidRPr="000C3205">
        <w:rPr>
          <w:sz w:val="24"/>
          <w:szCs w:val="24"/>
          <w:lang w:eastAsia="ru-RU"/>
        </w:rPr>
        <w:t xml:space="preserve"> Брокеры/дилеры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6540</w:t>
      </w:r>
      <w:r w:rsidR="00395AC4" w:rsidRPr="000C3205">
        <w:rPr>
          <w:sz w:val="24"/>
          <w:szCs w:val="24"/>
        </w:rPr>
        <w:t xml:space="preserve"> </w:t>
      </w:r>
      <w:r w:rsidR="00395AC4" w:rsidRPr="000C3205">
        <w:rPr>
          <w:sz w:val="24"/>
          <w:szCs w:val="24"/>
          <w:lang w:eastAsia="ru-RU"/>
        </w:rPr>
        <w:t xml:space="preserve">Транзакции по финансированию POI </w:t>
      </w:r>
    </w:p>
    <w:p w:rsidR="004D1B3A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7995</w:t>
      </w:r>
      <w:r w:rsidR="004D1B3A" w:rsidRPr="000C3205">
        <w:rPr>
          <w:sz w:val="24"/>
          <w:szCs w:val="24"/>
          <w:lang w:eastAsia="ru-RU"/>
        </w:rPr>
        <w:t xml:space="preserve"> Азартные игры</w:t>
      </w:r>
    </w:p>
    <w:p w:rsidR="0088367D" w:rsidRPr="000C3205" w:rsidRDefault="0088367D" w:rsidP="00E8559C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8999</w:t>
      </w:r>
      <w:r w:rsidR="004D1B3A" w:rsidRPr="000C3205">
        <w:rPr>
          <w:sz w:val="24"/>
          <w:szCs w:val="24"/>
        </w:rPr>
        <w:t xml:space="preserve"> </w:t>
      </w:r>
      <w:r w:rsidR="004D1B3A" w:rsidRPr="000C3205">
        <w:rPr>
          <w:sz w:val="24"/>
          <w:szCs w:val="24"/>
          <w:lang w:eastAsia="ru-RU"/>
        </w:rPr>
        <w:t>Профессиональные услуги - ни</w:t>
      </w:r>
      <w:r w:rsidR="00E8559C" w:rsidRPr="000C3205">
        <w:rPr>
          <w:sz w:val="24"/>
          <w:szCs w:val="24"/>
          <w:lang w:eastAsia="ru-RU"/>
        </w:rPr>
        <w:t>где более не классифицированные</w:t>
      </w:r>
      <w:r w:rsidRPr="000C3205">
        <w:rPr>
          <w:sz w:val="24"/>
          <w:szCs w:val="24"/>
          <w:lang w:eastAsia="ru-RU"/>
        </w:rPr>
        <w:t xml:space="preserve">. </w:t>
      </w:r>
    </w:p>
    <w:p w:rsidR="0088367D" w:rsidRPr="000C3205" w:rsidRDefault="0088367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eastAsia="ru-RU"/>
        </w:rPr>
      </w:pPr>
      <w:r w:rsidRPr="000C3205">
        <w:rPr>
          <w:b/>
          <w:sz w:val="24"/>
          <w:szCs w:val="24"/>
          <w:lang w:eastAsia="ru-RU"/>
        </w:rPr>
        <w:t xml:space="preserve">Обработка возвратов/отмен покупок </w:t>
      </w:r>
    </w:p>
    <w:p w:rsidR="0088367D" w:rsidRPr="000C3205" w:rsidRDefault="00FB0F68" w:rsidP="00963DF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205">
        <w:rPr>
          <w:b/>
          <w:bCs/>
          <w:sz w:val="24"/>
          <w:szCs w:val="24"/>
          <w:lang w:eastAsia="ru-RU"/>
        </w:rPr>
        <w:t>5</w:t>
      </w:r>
      <w:r w:rsidR="0088367D" w:rsidRPr="000C3205">
        <w:rPr>
          <w:b/>
          <w:bCs/>
          <w:sz w:val="24"/>
          <w:szCs w:val="24"/>
          <w:lang w:eastAsia="ru-RU"/>
        </w:rPr>
        <w:t>.</w:t>
      </w:r>
      <w:r w:rsidRPr="000C3205">
        <w:rPr>
          <w:b/>
          <w:bCs/>
          <w:sz w:val="24"/>
          <w:szCs w:val="24"/>
          <w:lang w:eastAsia="ru-RU"/>
        </w:rPr>
        <w:t>1</w:t>
      </w:r>
      <w:r w:rsidR="0088367D" w:rsidRPr="000C3205">
        <w:rPr>
          <w:b/>
          <w:bCs/>
          <w:sz w:val="24"/>
          <w:szCs w:val="24"/>
          <w:lang w:eastAsia="ru-RU"/>
        </w:rPr>
        <w:t>.1</w:t>
      </w:r>
      <w:r w:rsidRPr="000C3205">
        <w:rPr>
          <w:b/>
          <w:bCs/>
          <w:sz w:val="24"/>
          <w:szCs w:val="24"/>
          <w:lang w:eastAsia="ru-RU"/>
        </w:rPr>
        <w:t>2</w:t>
      </w:r>
      <w:r w:rsidR="0088367D" w:rsidRPr="000C3205">
        <w:rPr>
          <w:b/>
          <w:bCs/>
          <w:sz w:val="24"/>
          <w:szCs w:val="24"/>
          <w:lang w:eastAsia="ru-RU"/>
        </w:rPr>
        <w:t>.</w:t>
      </w:r>
      <w:r w:rsidRPr="000C3205">
        <w:rPr>
          <w:b/>
          <w:bCs/>
          <w:sz w:val="24"/>
          <w:szCs w:val="24"/>
          <w:lang w:eastAsia="ru-RU"/>
        </w:rPr>
        <w:t xml:space="preserve">1. </w:t>
      </w:r>
      <w:r w:rsidR="0088367D" w:rsidRPr="000C3205">
        <w:rPr>
          <w:sz w:val="24"/>
          <w:szCs w:val="24"/>
          <w:lang w:eastAsia="ru-RU"/>
        </w:rPr>
        <w:t xml:space="preserve">В случае возврата/отмены операции покупки списание </w:t>
      </w:r>
      <w:r w:rsidR="00D06DFD" w:rsidRPr="000C3205">
        <w:rPr>
          <w:sz w:val="24"/>
          <w:szCs w:val="24"/>
          <w:lang w:eastAsia="ru-RU"/>
        </w:rPr>
        <w:t>Бонусов</w:t>
      </w:r>
      <w:r w:rsidR="0088367D" w:rsidRPr="000C3205">
        <w:rPr>
          <w:sz w:val="24"/>
          <w:szCs w:val="24"/>
          <w:lang w:eastAsia="ru-RU"/>
        </w:rPr>
        <w:t xml:space="preserve"> происходит по следующему алгоритму: </w:t>
      </w:r>
    </w:p>
    <w:p w:rsidR="0088367D" w:rsidRPr="000C3205" w:rsidRDefault="0088367D" w:rsidP="007669F1">
      <w:pPr>
        <w:pStyle w:val="afc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4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lastRenderedPageBreak/>
        <w:t>Если операция, по которой пришел возврат, не может быть точно определена, то сумма операции умножается на коэффициент для данной операции</w:t>
      </w:r>
      <w:r w:rsidR="007669F1" w:rsidRPr="000C3205">
        <w:rPr>
          <w:sz w:val="24"/>
          <w:szCs w:val="24"/>
          <w:lang w:eastAsia="ru-RU"/>
        </w:rPr>
        <w:t xml:space="preserve"> согласно Приложения № 1</w:t>
      </w:r>
      <w:r w:rsidRPr="000C3205">
        <w:rPr>
          <w:sz w:val="24"/>
          <w:szCs w:val="24"/>
          <w:lang w:eastAsia="ru-RU"/>
        </w:rPr>
        <w:t xml:space="preserve">. </w:t>
      </w:r>
      <w:r w:rsidR="00383728" w:rsidRPr="000C3205">
        <w:rPr>
          <w:sz w:val="24"/>
          <w:szCs w:val="24"/>
          <w:lang w:eastAsia="ru-RU"/>
        </w:rPr>
        <w:t xml:space="preserve">Результат округляется по правилам математического округления до сотых долей значения </w:t>
      </w:r>
      <w:r w:rsidRPr="000C3205">
        <w:rPr>
          <w:sz w:val="24"/>
          <w:szCs w:val="24"/>
          <w:lang w:eastAsia="ru-RU"/>
        </w:rPr>
        <w:t xml:space="preserve">и полученное количество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списывается у Клиента. </w:t>
      </w:r>
    </w:p>
    <w:p w:rsidR="0088367D" w:rsidRPr="000C3205" w:rsidRDefault="0088367D" w:rsidP="00E37A7F">
      <w:pPr>
        <w:pStyle w:val="afc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В прочих случаях, если пришел полный или частичный возврат операции, списание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происходит пропорционально сумме начисления. При этом баланс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может стать меньше нуля (это возможно в том случае, если незадолго до операции произошла компенсация Предоплаты). Если </w:t>
      </w:r>
      <w:r w:rsidR="00E8559C" w:rsidRPr="000C3205">
        <w:rPr>
          <w:sz w:val="24"/>
          <w:szCs w:val="24"/>
          <w:lang w:eastAsia="ru-RU"/>
        </w:rPr>
        <w:t>Бонусы</w:t>
      </w:r>
      <w:r w:rsidRPr="000C3205">
        <w:rPr>
          <w:sz w:val="24"/>
          <w:szCs w:val="24"/>
          <w:lang w:eastAsia="ru-RU"/>
        </w:rPr>
        <w:t xml:space="preserve"> сгорели, </w:t>
      </w:r>
      <w:r w:rsidR="007C4360" w:rsidRPr="000C3205">
        <w:rPr>
          <w:sz w:val="24"/>
          <w:szCs w:val="24"/>
          <w:lang w:eastAsia="ru-RU"/>
        </w:rPr>
        <w:t xml:space="preserve">их </w:t>
      </w:r>
      <w:r w:rsidRPr="000C3205">
        <w:rPr>
          <w:sz w:val="24"/>
          <w:szCs w:val="24"/>
          <w:lang w:eastAsia="ru-RU"/>
        </w:rPr>
        <w:t xml:space="preserve">списание не производится. </w:t>
      </w:r>
    </w:p>
    <w:p w:rsidR="0088367D" w:rsidRPr="000C3205" w:rsidRDefault="0088367D" w:rsidP="00E37A7F">
      <w:pPr>
        <w:pStyle w:val="afc"/>
        <w:numPr>
          <w:ilvl w:val="2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eastAsia="ru-RU"/>
        </w:rPr>
      </w:pPr>
      <w:r w:rsidRPr="000C3205">
        <w:rPr>
          <w:b/>
          <w:sz w:val="24"/>
          <w:szCs w:val="24"/>
          <w:lang w:eastAsia="ru-RU"/>
        </w:rPr>
        <w:t xml:space="preserve">Списание (аннулирование) </w:t>
      </w:r>
      <w:r w:rsidR="00E8559C" w:rsidRPr="000C3205">
        <w:rPr>
          <w:b/>
          <w:sz w:val="24"/>
          <w:szCs w:val="24"/>
          <w:lang w:eastAsia="ru-RU"/>
        </w:rPr>
        <w:t>Бонусов</w:t>
      </w:r>
      <w:r w:rsidRPr="000C3205">
        <w:rPr>
          <w:b/>
          <w:sz w:val="24"/>
          <w:szCs w:val="24"/>
          <w:lang w:eastAsia="ru-RU"/>
        </w:rPr>
        <w:t xml:space="preserve"> </w:t>
      </w:r>
    </w:p>
    <w:p w:rsidR="0088367D" w:rsidRPr="000C3205" w:rsidRDefault="0088367D" w:rsidP="00E37A7F">
      <w:pPr>
        <w:pStyle w:val="afc"/>
        <w:numPr>
          <w:ilvl w:val="3"/>
          <w:numId w:val="3"/>
        </w:numPr>
        <w:suppressAutoHyphens w:val="0"/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Списание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может осуществляться при выявлении случаев: </w:t>
      </w:r>
    </w:p>
    <w:p w:rsidR="0088367D" w:rsidRPr="000C3205" w:rsidRDefault="0088367D" w:rsidP="00E37A7F">
      <w:pPr>
        <w:pStyle w:val="afc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44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злоупотребления настоящей Программой; </w:t>
      </w:r>
    </w:p>
    <w:p w:rsidR="0088367D" w:rsidRPr="000C3205" w:rsidRDefault="0088367D" w:rsidP="00E37A7F">
      <w:pPr>
        <w:pStyle w:val="afc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44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нарушения правил настоящей Программы; </w:t>
      </w:r>
    </w:p>
    <w:p w:rsidR="0088367D" w:rsidRDefault="0088367D" w:rsidP="00E37A7F">
      <w:pPr>
        <w:pStyle w:val="afc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некорректного излишнего начисления </w:t>
      </w:r>
      <w:r w:rsidR="00E8559C" w:rsidRPr="000C3205">
        <w:rPr>
          <w:sz w:val="24"/>
          <w:szCs w:val="24"/>
          <w:lang w:eastAsia="ru-RU"/>
        </w:rPr>
        <w:t>Бонусов</w:t>
      </w:r>
      <w:r w:rsidR="002C2008">
        <w:rPr>
          <w:sz w:val="24"/>
          <w:szCs w:val="24"/>
          <w:lang w:val="en-US" w:eastAsia="ru-RU"/>
        </w:rPr>
        <w:t>;</w:t>
      </w:r>
    </w:p>
    <w:p w:rsidR="002C2008" w:rsidRPr="00F835BC" w:rsidRDefault="002C2008" w:rsidP="00E37A7F">
      <w:pPr>
        <w:pStyle w:val="afc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835BC">
        <w:rPr>
          <w:sz w:val="24"/>
          <w:szCs w:val="24"/>
          <w:lang w:eastAsia="ru-RU"/>
        </w:rPr>
        <w:t>закрытия клиентом всех карточных счетов СКС в Банке.</w:t>
      </w:r>
    </w:p>
    <w:p w:rsidR="0088367D" w:rsidRPr="000C3205" w:rsidRDefault="0088367D" w:rsidP="00E37A7F">
      <w:pPr>
        <w:pStyle w:val="afc"/>
        <w:numPr>
          <w:ilvl w:val="3"/>
          <w:numId w:val="3"/>
        </w:numPr>
        <w:suppressAutoHyphens w:val="0"/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Сумма списания </w:t>
      </w:r>
      <w:r w:rsidR="00E8559C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</w:t>
      </w:r>
      <w:r w:rsidR="00263496" w:rsidRPr="000C3205">
        <w:rPr>
          <w:sz w:val="24"/>
          <w:szCs w:val="24"/>
          <w:lang w:eastAsia="ru-RU"/>
        </w:rPr>
        <w:t xml:space="preserve">по возмещению стоимости покупки </w:t>
      </w:r>
      <w:r w:rsidRPr="000C3205">
        <w:rPr>
          <w:sz w:val="24"/>
          <w:szCs w:val="24"/>
          <w:lang w:eastAsia="ru-RU"/>
        </w:rPr>
        <w:t xml:space="preserve">не может превышать текущего баланса </w:t>
      </w:r>
      <w:r w:rsidR="00D06DFD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. </w:t>
      </w:r>
    </w:p>
    <w:p w:rsidR="00274687" w:rsidRPr="009076C4" w:rsidRDefault="00274687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7" w:name="_Toc35128093"/>
      <w:r w:rsidRPr="009076C4">
        <w:rPr>
          <w:b/>
          <w:color w:val="FFFFFF" w:themeColor="background1"/>
          <w:szCs w:val="24"/>
        </w:rPr>
        <w:t>Уведомление Клиента</w:t>
      </w:r>
      <w:bookmarkEnd w:id="7"/>
      <w:r w:rsidRPr="009076C4">
        <w:rPr>
          <w:b/>
          <w:color w:val="FFFFFF" w:themeColor="background1"/>
          <w:szCs w:val="24"/>
        </w:rPr>
        <w:t xml:space="preserve"> </w:t>
      </w:r>
    </w:p>
    <w:p w:rsidR="00E0685E" w:rsidRPr="007C6142" w:rsidRDefault="00E0685E" w:rsidP="00E37A7F">
      <w:pPr>
        <w:pStyle w:val="afc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vanish/>
          <w:color w:val="000000"/>
          <w:sz w:val="24"/>
          <w:szCs w:val="24"/>
          <w:lang w:eastAsia="ru-RU"/>
        </w:rPr>
      </w:pPr>
    </w:p>
    <w:p w:rsidR="00274687" w:rsidRPr="00263496" w:rsidRDefault="00274687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274687">
        <w:rPr>
          <w:color w:val="000000"/>
          <w:sz w:val="24"/>
          <w:szCs w:val="24"/>
          <w:lang w:eastAsia="ru-RU"/>
        </w:rPr>
        <w:t xml:space="preserve">Уведомление Клиента о доступном </w:t>
      </w:r>
      <w:r w:rsidRPr="000C3205">
        <w:rPr>
          <w:sz w:val="24"/>
          <w:szCs w:val="24"/>
          <w:lang w:eastAsia="ru-RU"/>
        </w:rPr>
        <w:t xml:space="preserve">количестве </w:t>
      </w:r>
      <w:r w:rsidR="00E8559C" w:rsidRPr="000C3205">
        <w:rPr>
          <w:sz w:val="24"/>
          <w:szCs w:val="24"/>
          <w:lang w:eastAsia="ru-RU"/>
        </w:rPr>
        <w:t>Бонусов</w:t>
      </w:r>
      <w:r w:rsidR="004B742F" w:rsidRPr="000C3205">
        <w:rPr>
          <w:sz w:val="24"/>
          <w:szCs w:val="24"/>
          <w:lang w:eastAsia="ru-RU"/>
        </w:rPr>
        <w:t xml:space="preserve"> и истории их зачисления/списания</w:t>
      </w:r>
      <w:r w:rsidRPr="000C3205">
        <w:rPr>
          <w:sz w:val="24"/>
          <w:szCs w:val="24"/>
          <w:lang w:eastAsia="ru-RU"/>
        </w:rPr>
        <w:t xml:space="preserve"> п</w:t>
      </w:r>
      <w:r w:rsidR="001F6368" w:rsidRPr="000C3205">
        <w:rPr>
          <w:sz w:val="24"/>
          <w:szCs w:val="24"/>
          <w:lang w:eastAsia="ru-RU"/>
        </w:rPr>
        <w:t>роизводится путем предоставления</w:t>
      </w:r>
      <w:r w:rsidR="004B742F" w:rsidRPr="000C3205">
        <w:rPr>
          <w:sz w:val="24"/>
          <w:szCs w:val="24"/>
          <w:lang w:eastAsia="ru-RU"/>
        </w:rPr>
        <w:t xml:space="preserve"> клиенту доступа к </w:t>
      </w:r>
      <w:r w:rsidR="00C12ABC">
        <w:rPr>
          <w:sz w:val="24"/>
          <w:szCs w:val="24"/>
          <w:lang w:eastAsia="ru-RU"/>
        </w:rPr>
        <w:t>С</w:t>
      </w:r>
      <w:r w:rsidR="00383728" w:rsidRPr="000C3205">
        <w:rPr>
          <w:sz w:val="24"/>
          <w:szCs w:val="24"/>
          <w:lang w:eastAsia="ru-RU"/>
        </w:rPr>
        <w:t xml:space="preserve">истеме </w:t>
      </w:r>
      <w:r w:rsidR="00C12ABC">
        <w:rPr>
          <w:sz w:val="24"/>
          <w:szCs w:val="24"/>
          <w:lang w:eastAsia="ru-RU"/>
        </w:rPr>
        <w:t>«Интернет-Банк»</w:t>
      </w:r>
      <w:r w:rsidR="001F6368" w:rsidRPr="000C3205">
        <w:rPr>
          <w:sz w:val="24"/>
          <w:szCs w:val="24"/>
          <w:lang w:eastAsia="ru-RU"/>
        </w:rPr>
        <w:t xml:space="preserve"> (согласно порядку и условиям</w:t>
      </w:r>
      <w:r w:rsidR="003052FF" w:rsidRPr="000C3205">
        <w:rPr>
          <w:sz w:val="24"/>
          <w:szCs w:val="24"/>
          <w:lang w:eastAsia="ru-RU"/>
        </w:rPr>
        <w:t>,</w:t>
      </w:r>
      <w:r w:rsidR="001F6368" w:rsidRPr="000C3205">
        <w:rPr>
          <w:sz w:val="24"/>
          <w:szCs w:val="24"/>
          <w:lang w:eastAsia="ru-RU"/>
        </w:rPr>
        <w:t xml:space="preserve"> предусмотренным для подключения к данной </w:t>
      </w:r>
      <w:r w:rsidR="001F6368" w:rsidRPr="00C81BEF">
        <w:rPr>
          <w:color w:val="000000"/>
          <w:sz w:val="24"/>
          <w:szCs w:val="24"/>
          <w:lang w:eastAsia="ru-RU"/>
        </w:rPr>
        <w:t>системе)</w:t>
      </w:r>
      <w:r w:rsidR="004B742F" w:rsidRPr="00C81BEF">
        <w:rPr>
          <w:color w:val="000000"/>
          <w:sz w:val="24"/>
          <w:szCs w:val="24"/>
          <w:lang w:eastAsia="ru-RU"/>
        </w:rPr>
        <w:t>, где отражаются все проведенные операции.</w:t>
      </w:r>
    </w:p>
    <w:p w:rsidR="00E0685E" w:rsidRPr="000C3205" w:rsidRDefault="007E628E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8" w:name="_Toc35128094"/>
      <w:r w:rsidRPr="009076C4">
        <w:rPr>
          <w:b/>
          <w:color w:val="FFFFFF" w:themeColor="background1"/>
          <w:szCs w:val="24"/>
        </w:rPr>
        <w:t xml:space="preserve">Порядок </w:t>
      </w:r>
      <w:r w:rsidRPr="000C3205">
        <w:rPr>
          <w:b/>
          <w:color w:val="FFFFFF" w:themeColor="background1"/>
          <w:szCs w:val="24"/>
        </w:rPr>
        <w:t xml:space="preserve">использования </w:t>
      </w:r>
      <w:r w:rsidR="00E8559C" w:rsidRPr="000C3205">
        <w:rPr>
          <w:b/>
          <w:color w:val="FFFFFF" w:themeColor="background1"/>
          <w:szCs w:val="24"/>
          <w:lang w:eastAsia="ru-RU"/>
        </w:rPr>
        <w:t>Бонусов</w:t>
      </w:r>
      <w:bookmarkEnd w:id="8"/>
    </w:p>
    <w:p w:rsidR="0015468F" w:rsidRPr="007C6142" w:rsidRDefault="0015468F" w:rsidP="00E37A7F">
      <w:pPr>
        <w:pStyle w:val="afc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vanish/>
          <w:color w:val="000000"/>
          <w:sz w:val="24"/>
          <w:szCs w:val="24"/>
          <w:lang w:eastAsia="ru-RU"/>
        </w:rPr>
      </w:pPr>
    </w:p>
    <w:p w:rsidR="00E0685E" w:rsidRPr="000C3205" w:rsidRDefault="00E0685E" w:rsidP="00E37A7F">
      <w:pPr>
        <w:pStyle w:val="afc"/>
        <w:numPr>
          <w:ilvl w:val="1"/>
          <w:numId w:val="3"/>
        </w:numPr>
        <w:suppressAutoHyphens w:val="0"/>
        <w:autoSpaceDE w:val="0"/>
        <w:autoSpaceDN w:val="0"/>
        <w:adjustRightInd w:val="0"/>
        <w:ind w:left="709" w:hanging="709"/>
        <w:jc w:val="both"/>
        <w:rPr>
          <w:b/>
          <w:sz w:val="24"/>
          <w:szCs w:val="24"/>
          <w:lang w:eastAsia="ru-RU"/>
        </w:rPr>
      </w:pPr>
      <w:r w:rsidRPr="000C3205">
        <w:rPr>
          <w:b/>
          <w:sz w:val="24"/>
          <w:szCs w:val="24"/>
          <w:lang w:eastAsia="ru-RU"/>
        </w:rPr>
        <w:t>Т</w:t>
      </w:r>
      <w:r w:rsidR="007E628E" w:rsidRPr="000C3205">
        <w:rPr>
          <w:b/>
          <w:sz w:val="24"/>
          <w:szCs w:val="24"/>
          <w:lang w:eastAsia="ru-RU"/>
        </w:rPr>
        <w:t xml:space="preserve">ребования к использованию </w:t>
      </w:r>
      <w:r w:rsidR="00E8559C" w:rsidRPr="000C3205">
        <w:rPr>
          <w:b/>
          <w:sz w:val="24"/>
          <w:szCs w:val="24"/>
          <w:lang w:eastAsia="ru-RU"/>
        </w:rPr>
        <w:t>Бонусов</w:t>
      </w:r>
      <w:r w:rsidR="007E628E" w:rsidRPr="000C3205">
        <w:rPr>
          <w:b/>
          <w:sz w:val="24"/>
          <w:szCs w:val="24"/>
          <w:lang w:val="en-US" w:eastAsia="ru-RU"/>
        </w:rPr>
        <w:t>:</w:t>
      </w:r>
    </w:p>
    <w:p w:rsidR="00E0685E" w:rsidRPr="000C3205" w:rsidRDefault="00D06DF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>Бонусами</w:t>
      </w:r>
      <w:r w:rsidR="00E0685E" w:rsidRPr="000C3205">
        <w:rPr>
          <w:sz w:val="24"/>
          <w:szCs w:val="24"/>
          <w:lang w:eastAsia="ru-RU"/>
        </w:rPr>
        <w:t xml:space="preserve"> возме</w:t>
      </w:r>
      <w:r w:rsidR="00DA55D2" w:rsidRPr="000C3205">
        <w:rPr>
          <w:sz w:val="24"/>
          <w:szCs w:val="24"/>
          <w:lang w:eastAsia="ru-RU"/>
        </w:rPr>
        <w:t>щается</w:t>
      </w:r>
      <w:r w:rsidR="00BE63DB" w:rsidRPr="000C3205">
        <w:rPr>
          <w:sz w:val="24"/>
          <w:szCs w:val="24"/>
          <w:lang w:eastAsia="ru-RU"/>
        </w:rPr>
        <w:t xml:space="preserve"> стоимость покупки </w:t>
      </w:r>
      <w:r w:rsidR="00DA55D2" w:rsidRPr="000C3205">
        <w:rPr>
          <w:sz w:val="24"/>
          <w:szCs w:val="24"/>
          <w:lang w:eastAsia="ru-RU"/>
        </w:rPr>
        <w:t>произведенной с использованием Карты в торговых предприятиях, имеющих МСС, указанные</w:t>
      </w:r>
      <w:r w:rsidR="00BE63DB" w:rsidRPr="000C3205">
        <w:rPr>
          <w:sz w:val="24"/>
          <w:szCs w:val="24"/>
          <w:lang w:eastAsia="ru-RU"/>
        </w:rPr>
        <w:t xml:space="preserve"> в </w:t>
      </w:r>
      <w:r w:rsidR="00DA55D2" w:rsidRPr="000C3205">
        <w:rPr>
          <w:sz w:val="24"/>
          <w:szCs w:val="24"/>
          <w:lang w:eastAsia="ru-RU"/>
        </w:rPr>
        <w:t>п.7.2 Программы</w:t>
      </w:r>
      <w:r w:rsidR="00E0685E" w:rsidRPr="000C3205">
        <w:rPr>
          <w:sz w:val="24"/>
          <w:szCs w:val="24"/>
          <w:lang w:eastAsia="ru-RU"/>
        </w:rPr>
        <w:t xml:space="preserve">; </w:t>
      </w:r>
    </w:p>
    <w:p w:rsidR="00E0685E" w:rsidRPr="006F6852" w:rsidRDefault="00DA55D2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sz w:val="24"/>
          <w:szCs w:val="24"/>
          <w:lang w:eastAsia="ru-RU"/>
        </w:rPr>
      </w:pPr>
      <w:r w:rsidRPr="006F6852">
        <w:rPr>
          <w:sz w:val="24"/>
          <w:szCs w:val="24"/>
          <w:lang w:eastAsia="ru-RU"/>
        </w:rPr>
        <w:t>К</w:t>
      </w:r>
      <w:r w:rsidR="00E0685E" w:rsidRPr="006F6852">
        <w:rPr>
          <w:sz w:val="24"/>
          <w:szCs w:val="24"/>
          <w:lang w:eastAsia="ru-RU"/>
        </w:rPr>
        <w:t xml:space="preserve">омпенсация покупки за </w:t>
      </w:r>
      <w:r w:rsidR="00D06DFD" w:rsidRPr="006F6852">
        <w:rPr>
          <w:sz w:val="24"/>
          <w:szCs w:val="24"/>
          <w:lang w:eastAsia="ru-RU"/>
        </w:rPr>
        <w:t>Бонусы</w:t>
      </w:r>
      <w:r w:rsidR="00E0685E" w:rsidRPr="006F6852">
        <w:rPr>
          <w:sz w:val="24"/>
          <w:szCs w:val="24"/>
          <w:lang w:eastAsia="ru-RU"/>
        </w:rPr>
        <w:t xml:space="preserve"> возможна</w:t>
      </w:r>
      <w:r w:rsidR="00963DF3" w:rsidRPr="006F6852">
        <w:rPr>
          <w:sz w:val="24"/>
          <w:szCs w:val="24"/>
          <w:lang w:eastAsia="ru-RU"/>
        </w:rPr>
        <w:t xml:space="preserve"> </w:t>
      </w:r>
      <w:r w:rsidR="0082563C" w:rsidRPr="006F6852">
        <w:rPr>
          <w:sz w:val="24"/>
          <w:szCs w:val="24"/>
          <w:lang w:eastAsia="ru-RU"/>
        </w:rPr>
        <w:t>в объеме,</w:t>
      </w:r>
      <w:r w:rsidR="00963DF3" w:rsidRPr="006F6852">
        <w:rPr>
          <w:sz w:val="24"/>
          <w:szCs w:val="24"/>
          <w:lang w:eastAsia="ru-RU"/>
        </w:rPr>
        <w:t xml:space="preserve"> не превышающем стоимость покупки</w:t>
      </w:r>
      <w:r w:rsidRPr="006F6852">
        <w:rPr>
          <w:sz w:val="24"/>
          <w:szCs w:val="24"/>
          <w:lang w:eastAsia="ru-RU"/>
        </w:rPr>
        <w:t xml:space="preserve">, но не более количества </w:t>
      </w:r>
      <w:r w:rsidR="00D06DFD" w:rsidRPr="006F6852">
        <w:rPr>
          <w:sz w:val="24"/>
          <w:szCs w:val="24"/>
          <w:lang w:eastAsia="ru-RU"/>
        </w:rPr>
        <w:t>Бонусов</w:t>
      </w:r>
      <w:r w:rsidRPr="006F6852">
        <w:rPr>
          <w:sz w:val="24"/>
          <w:szCs w:val="24"/>
          <w:lang w:eastAsia="ru-RU"/>
        </w:rPr>
        <w:t>, накопленных клиентом</w:t>
      </w:r>
      <w:r w:rsidR="00E0685E" w:rsidRPr="006F6852">
        <w:rPr>
          <w:sz w:val="24"/>
          <w:szCs w:val="24"/>
          <w:lang w:eastAsia="ru-RU"/>
        </w:rPr>
        <w:t xml:space="preserve">; </w:t>
      </w:r>
    </w:p>
    <w:p w:rsidR="00BF5624" w:rsidRPr="006F6852" w:rsidRDefault="00BF5624" w:rsidP="00BF5624">
      <w:pPr>
        <w:pStyle w:val="afc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6F6852">
        <w:rPr>
          <w:sz w:val="24"/>
          <w:szCs w:val="24"/>
          <w:lang w:eastAsia="ru-RU"/>
        </w:rPr>
        <w:t>МСС торговых точек, по которым производится компенсация покупки за Бонусы в рамках настоящей Программы – за все покупки, за исключением указанных в п.5.1.10.</w:t>
      </w:r>
    </w:p>
    <w:p w:rsidR="00E0685E" w:rsidRPr="006F6852" w:rsidRDefault="00E0685E" w:rsidP="007163BF">
      <w:pPr>
        <w:pStyle w:val="afc"/>
        <w:numPr>
          <w:ilvl w:val="1"/>
          <w:numId w:val="3"/>
        </w:numPr>
        <w:suppressAutoHyphens w:val="0"/>
        <w:autoSpaceDE w:val="0"/>
        <w:autoSpaceDN w:val="0"/>
        <w:adjustRightInd w:val="0"/>
        <w:ind w:left="709" w:hanging="709"/>
        <w:jc w:val="both"/>
        <w:rPr>
          <w:sz w:val="24"/>
          <w:szCs w:val="24"/>
          <w:lang w:eastAsia="ru-RU"/>
        </w:rPr>
      </w:pPr>
      <w:r w:rsidRPr="006F6852">
        <w:rPr>
          <w:sz w:val="24"/>
          <w:szCs w:val="24"/>
          <w:lang w:eastAsia="ru-RU"/>
        </w:rPr>
        <w:t xml:space="preserve">Списание </w:t>
      </w:r>
      <w:r w:rsidR="00D06DFD" w:rsidRPr="006F6852">
        <w:rPr>
          <w:sz w:val="24"/>
          <w:szCs w:val="24"/>
          <w:lang w:eastAsia="ru-RU"/>
        </w:rPr>
        <w:t>Бонусов</w:t>
      </w:r>
      <w:r w:rsidRPr="006F6852">
        <w:rPr>
          <w:sz w:val="24"/>
          <w:szCs w:val="24"/>
          <w:lang w:eastAsia="ru-RU"/>
        </w:rPr>
        <w:t xml:space="preserve"> дл</w:t>
      </w:r>
      <w:r w:rsidR="0023550D" w:rsidRPr="006F6852">
        <w:rPr>
          <w:sz w:val="24"/>
          <w:szCs w:val="24"/>
          <w:lang w:eastAsia="ru-RU"/>
        </w:rPr>
        <w:t>я возмещения стоимости покупки:</w:t>
      </w:r>
    </w:p>
    <w:p w:rsidR="00E0685E" w:rsidRPr="006F6852" w:rsidRDefault="00E0685E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sz w:val="24"/>
          <w:szCs w:val="24"/>
        </w:rPr>
      </w:pPr>
      <w:r w:rsidRPr="006F6852">
        <w:rPr>
          <w:sz w:val="24"/>
          <w:szCs w:val="24"/>
          <w:lang w:eastAsia="ru-RU"/>
        </w:rPr>
        <w:t xml:space="preserve">Минимальный остаток доступных </w:t>
      </w:r>
      <w:r w:rsidR="00D06DFD" w:rsidRPr="006F6852">
        <w:rPr>
          <w:sz w:val="24"/>
          <w:szCs w:val="24"/>
          <w:lang w:eastAsia="ru-RU"/>
        </w:rPr>
        <w:t>Бонусов</w:t>
      </w:r>
      <w:r w:rsidRPr="006F6852">
        <w:rPr>
          <w:sz w:val="24"/>
          <w:szCs w:val="24"/>
          <w:lang w:eastAsia="ru-RU"/>
        </w:rPr>
        <w:t xml:space="preserve"> для возможности компенсации покупки – </w:t>
      </w:r>
      <w:r w:rsidR="00BF5624" w:rsidRPr="006F6852">
        <w:rPr>
          <w:sz w:val="24"/>
          <w:szCs w:val="24"/>
        </w:rPr>
        <w:t>отсутствует</w:t>
      </w:r>
      <w:r w:rsidRPr="006F6852">
        <w:rPr>
          <w:sz w:val="24"/>
          <w:szCs w:val="24"/>
        </w:rPr>
        <w:t xml:space="preserve">. </w:t>
      </w:r>
    </w:p>
    <w:p w:rsidR="004053C7" w:rsidRPr="00F835BC" w:rsidRDefault="00D06DFD" w:rsidP="00E37A7F">
      <w:pPr>
        <w:pStyle w:val="afc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bookmarkStart w:id="9" w:name="_Ref34348722"/>
      <w:r w:rsidRPr="006F6852">
        <w:rPr>
          <w:sz w:val="24"/>
          <w:szCs w:val="24"/>
          <w:lang w:eastAsia="ru-RU"/>
        </w:rPr>
        <w:t>Компенсация покупок</w:t>
      </w:r>
      <w:r w:rsidR="00EF052A" w:rsidRPr="006F6852">
        <w:rPr>
          <w:sz w:val="24"/>
          <w:szCs w:val="24"/>
          <w:lang w:eastAsia="ru-RU"/>
        </w:rPr>
        <w:t xml:space="preserve"> и зачисление премиальных </w:t>
      </w:r>
      <w:r w:rsidRPr="006F6852">
        <w:rPr>
          <w:sz w:val="24"/>
          <w:szCs w:val="24"/>
          <w:lang w:eastAsia="ru-RU"/>
        </w:rPr>
        <w:t>Бонусов</w:t>
      </w:r>
      <w:r w:rsidR="00EF052A" w:rsidRPr="006F6852">
        <w:rPr>
          <w:sz w:val="24"/>
          <w:szCs w:val="24"/>
          <w:lang w:eastAsia="ru-RU"/>
        </w:rPr>
        <w:t xml:space="preserve"> </w:t>
      </w:r>
      <w:r w:rsidR="00E0685E" w:rsidRPr="006F6852">
        <w:rPr>
          <w:sz w:val="24"/>
          <w:szCs w:val="24"/>
          <w:lang w:eastAsia="ru-RU"/>
        </w:rPr>
        <w:t xml:space="preserve">осуществляется </w:t>
      </w:r>
      <w:r w:rsidR="004053C7" w:rsidRPr="006F6852">
        <w:rPr>
          <w:sz w:val="24"/>
          <w:szCs w:val="24"/>
          <w:lang w:eastAsia="ru-RU"/>
        </w:rPr>
        <w:t xml:space="preserve">путем </w:t>
      </w:r>
      <w:r w:rsidR="004053C7" w:rsidRPr="00F835BC">
        <w:rPr>
          <w:sz w:val="24"/>
          <w:szCs w:val="24"/>
          <w:lang w:eastAsia="ru-RU"/>
        </w:rPr>
        <w:t xml:space="preserve">зачисления </w:t>
      </w:r>
      <w:r w:rsidR="00F35D59" w:rsidRPr="00F835BC">
        <w:rPr>
          <w:sz w:val="24"/>
          <w:szCs w:val="24"/>
          <w:lang w:eastAsia="ru-RU"/>
        </w:rPr>
        <w:t>15 числа</w:t>
      </w:r>
      <w:r w:rsidRPr="00F835BC">
        <w:rPr>
          <w:sz w:val="24"/>
          <w:szCs w:val="24"/>
          <w:lang w:eastAsia="ru-RU"/>
        </w:rPr>
        <w:t xml:space="preserve"> месяца</w:t>
      </w:r>
      <w:r w:rsidR="00294F96" w:rsidRPr="00F835BC">
        <w:rPr>
          <w:sz w:val="24"/>
          <w:szCs w:val="24"/>
          <w:lang w:eastAsia="ru-RU"/>
        </w:rPr>
        <w:t>, следующего за отчетным</w:t>
      </w:r>
      <w:r w:rsidRPr="00F835BC">
        <w:rPr>
          <w:b/>
          <w:sz w:val="24"/>
          <w:szCs w:val="24"/>
          <w:lang w:eastAsia="ru-RU"/>
        </w:rPr>
        <w:t xml:space="preserve"> </w:t>
      </w:r>
      <w:r w:rsidR="0023550D" w:rsidRPr="00F835BC">
        <w:rPr>
          <w:sz w:val="24"/>
          <w:szCs w:val="24"/>
          <w:lang w:eastAsia="ru-RU"/>
        </w:rPr>
        <w:t xml:space="preserve">суммы </w:t>
      </w:r>
      <w:r w:rsidR="004053C7" w:rsidRPr="00F835BC">
        <w:rPr>
          <w:sz w:val="24"/>
          <w:szCs w:val="24"/>
          <w:lang w:eastAsia="ru-RU"/>
        </w:rPr>
        <w:t>стоимости покупок</w:t>
      </w:r>
      <w:r w:rsidR="0082563C" w:rsidRPr="00F835BC">
        <w:rPr>
          <w:sz w:val="24"/>
          <w:szCs w:val="24"/>
          <w:lang w:eastAsia="ru-RU"/>
        </w:rPr>
        <w:t xml:space="preserve"> (отраженных в выписке по карточному счету)</w:t>
      </w:r>
      <w:r w:rsidR="004053C7" w:rsidRPr="00F835BC">
        <w:rPr>
          <w:sz w:val="24"/>
          <w:szCs w:val="24"/>
          <w:lang w:eastAsia="ru-RU"/>
        </w:rPr>
        <w:t xml:space="preserve"> за </w:t>
      </w:r>
      <w:r w:rsidR="00294F96" w:rsidRPr="00F835BC">
        <w:rPr>
          <w:sz w:val="24"/>
          <w:szCs w:val="24"/>
          <w:lang w:eastAsia="ru-RU"/>
        </w:rPr>
        <w:t>отчетный (</w:t>
      </w:r>
      <w:r w:rsidR="004053C7" w:rsidRPr="00F835BC">
        <w:rPr>
          <w:sz w:val="24"/>
          <w:szCs w:val="24"/>
          <w:lang w:eastAsia="ru-RU"/>
        </w:rPr>
        <w:t>п</w:t>
      </w:r>
      <w:r w:rsidR="0023550D" w:rsidRPr="00F835BC">
        <w:rPr>
          <w:sz w:val="24"/>
          <w:szCs w:val="24"/>
          <w:lang w:eastAsia="ru-RU"/>
        </w:rPr>
        <w:t>рошедший</w:t>
      </w:r>
      <w:r w:rsidR="00294F96" w:rsidRPr="00F835BC">
        <w:rPr>
          <w:sz w:val="24"/>
          <w:szCs w:val="24"/>
          <w:lang w:eastAsia="ru-RU"/>
        </w:rPr>
        <w:t>)</w:t>
      </w:r>
      <w:r w:rsidR="0023550D" w:rsidRPr="00F835BC">
        <w:rPr>
          <w:sz w:val="24"/>
          <w:szCs w:val="24"/>
          <w:lang w:eastAsia="ru-RU"/>
        </w:rPr>
        <w:t xml:space="preserve"> месяц согласно условиям Программы. Компенсация производится по курсу 1 </w:t>
      </w:r>
      <w:r w:rsidRPr="00F835BC">
        <w:rPr>
          <w:sz w:val="24"/>
          <w:szCs w:val="24"/>
          <w:lang w:eastAsia="ru-RU"/>
        </w:rPr>
        <w:t>бонус</w:t>
      </w:r>
      <w:r w:rsidR="0023550D" w:rsidRPr="00F835BC">
        <w:rPr>
          <w:sz w:val="24"/>
          <w:szCs w:val="24"/>
          <w:lang w:eastAsia="ru-RU"/>
        </w:rPr>
        <w:t xml:space="preserve"> = 1 рубль стоимости покупки</w:t>
      </w:r>
      <w:r w:rsidR="002A0043" w:rsidRPr="00F835BC">
        <w:rPr>
          <w:sz w:val="24"/>
          <w:szCs w:val="24"/>
          <w:lang w:eastAsia="ru-RU"/>
        </w:rPr>
        <w:t xml:space="preserve"> (если 15 число месяца приходится на выходной или праздничный день – дата выплаты и зачисления переносится на первый рабочий день после указанного срока)</w:t>
      </w:r>
      <w:r w:rsidR="0023550D" w:rsidRPr="00F835BC">
        <w:rPr>
          <w:sz w:val="24"/>
          <w:szCs w:val="24"/>
          <w:lang w:eastAsia="ru-RU"/>
        </w:rPr>
        <w:t xml:space="preserve">. Сумма компенсации в рублях начисляется на карточный счет клиента </w:t>
      </w:r>
      <w:r w:rsidR="00F35D59" w:rsidRPr="00F835BC">
        <w:rPr>
          <w:sz w:val="24"/>
          <w:szCs w:val="24"/>
          <w:lang w:eastAsia="ru-RU"/>
        </w:rPr>
        <w:t>по которому произведено больше всего операций покупок</w:t>
      </w:r>
      <w:r w:rsidR="004C7267" w:rsidRPr="00F835BC">
        <w:rPr>
          <w:rStyle w:val="aff5"/>
          <w:sz w:val="24"/>
          <w:szCs w:val="24"/>
          <w:lang w:eastAsia="ru-RU"/>
        </w:rPr>
        <w:footnoteReference w:id="3"/>
      </w:r>
      <w:r w:rsidR="0023550D" w:rsidRPr="00F835BC">
        <w:rPr>
          <w:sz w:val="24"/>
          <w:szCs w:val="24"/>
          <w:lang w:eastAsia="ru-RU"/>
        </w:rPr>
        <w:t xml:space="preserve">. При этом количество </w:t>
      </w:r>
      <w:r w:rsidRPr="00F835BC">
        <w:rPr>
          <w:sz w:val="24"/>
          <w:szCs w:val="24"/>
          <w:lang w:eastAsia="ru-RU"/>
        </w:rPr>
        <w:t>Бонусов</w:t>
      </w:r>
      <w:r w:rsidR="0023550D" w:rsidRPr="00F835BC">
        <w:rPr>
          <w:sz w:val="24"/>
          <w:szCs w:val="24"/>
          <w:lang w:eastAsia="ru-RU"/>
        </w:rPr>
        <w:t xml:space="preserve"> доступных клиенту уменьшается на соответствующее количество.</w:t>
      </w:r>
      <w:bookmarkEnd w:id="9"/>
      <w:r w:rsidR="002A0043" w:rsidRPr="00F835BC">
        <w:rPr>
          <w:sz w:val="24"/>
          <w:szCs w:val="24"/>
          <w:lang w:eastAsia="ru-RU"/>
        </w:rPr>
        <w:t xml:space="preserve"> </w:t>
      </w:r>
    </w:p>
    <w:p w:rsidR="00963DF3" w:rsidRPr="009076C4" w:rsidRDefault="00963DF3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10" w:name="_Toc35128095"/>
      <w:r w:rsidRPr="009076C4">
        <w:rPr>
          <w:b/>
          <w:color w:val="FFFFFF" w:themeColor="background1"/>
          <w:szCs w:val="24"/>
        </w:rPr>
        <w:t>Прочие условия</w:t>
      </w:r>
      <w:bookmarkEnd w:id="10"/>
      <w:r w:rsidRPr="009076C4">
        <w:rPr>
          <w:b/>
          <w:color w:val="FFFFFF" w:themeColor="background1"/>
          <w:szCs w:val="24"/>
        </w:rPr>
        <w:t xml:space="preserve"> </w:t>
      </w:r>
    </w:p>
    <w:p w:rsidR="007E628E" w:rsidRPr="007C6142" w:rsidRDefault="007E628E" w:rsidP="00E37A7F">
      <w:pPr>
        <w:pStyle w:val="afc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vanish/>
          <w:color w:val="000000"/>
          <w:sz w:val="24"/>
          <w:szCs w:val="24"/>
          <w:lang w:eastAsia="ru-RU"/>
        </w:rPr>
      </w:pPr>
    </w:p>
    <w:p w:rsidR="007E628E" w:rsidRPr="000C3205" w:rsidRDefault="00963DF3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t xml:space="preserve">Ответственность Банка перед Клиентом за нарушение настоящей Программы ограничивается в случае любой претензии, связанной с начислением </w:t>
      </w:r>
      <w:r w:rsidR="00D06DFD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, начислением надлежащего количества </w:t>
      </w:r>
      <w:r w:rsidR="00D06DFD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Клиенту. </w:t>
      </w:r>
    </w:p>
    <w:p w:rsidR="00963DF3" w:rsidRPr="00963DF3" w:rsidRDefault="003E3BC2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0C3205">
        <w:rPr>
          <w:sz w:val="24"/>
          <w:szCs w:val="24"/>
          <w:lang w:eastAsia="ru-RU"/>
        </w:rPr>
        <w:lastRenderedPageBreak/>
        <w:t xml:space="preserve">Банк вправе отменить, вносить </w:t>
      </w:r>
      <w:r w:rsidR="00963DF3" w:rsidRPr="000C3205">
        <w:rPr>
          <w:sz w:val="24"/>
          <w:szCs w:val="24"/>
          <w:lang w:eastAsia="ru-RU"/>
        </w:rPr>
        <w:t xml:space="preserve">изменения и дополнения в настоящую Программу. В случае </w:t>
      </w:r>
      <w:r w:rsidR="00963DF3" w:rsidRPr="006F6852">
        <w:rPr>
          <w:sz w:val="24"/>
          <w:szCs w:val="24"/>
          <w:lang w:eastAsia="ru-RU"/>
        </w:rPr>
        <w:t xml:space="preserve">изменения </w:t>
      </w:r>
      <w:r w:rsidR="00A046B8" w:rsidRPr="006F6852">
        <w:rPr>
          <w:sz w:val="24"/>
          <w:szCs w:val="24"/>
          <w:lang w:eastAsia="ru-RU"/>
        </w:rPr>
        <w:t xml:space="preserve">или отмены действия </w:t>
      </w:r>
      <w:r w:rsidR="00963DF3" w:rsidRPr="006F6852">
        <w:rPr>
          <w:sz w:val="24"/>
          <w:szCs w:val="24"/>
          <w:lang w:eastAsia="ru-RU"/>
        </w:rPr>
        <w:t>настоящей Программы Банк увед</w:t>
      </w:r>
      <w:r w:rsidR="007E628E" w:rsidRPr="006F6852">
        <w:rPr>
          <w:sz w:val="24"/>
          <w:szCs w:val="24"/>
          <w:lang w:eastAsia="ru-RU"/>
        </w:rPr>
        <w:t>омляет об этом не менее чем за 1</w:t>
      </w:r>
      <w:r w:rsidR="00963DF3" w:rsidRPr="006F6852">
        <w:rPr>
          <w:sz w:val="24"/>
          <w:szCs w:val="24"/>
          <w:lang w:eastAsia="ru-RU"/>
        </w:rPr>
        <w:t>0 (</w:t>
      </w:r>
      <w:r w:rsidR="007E628E" w:rsidRPr="006F6852">
        <w:rPr>
          <w:sz w:val="24"/>
          <w:szCs w:val="24"/>
          <w:lang w:eastAsia="ru-RU"/>
        </w:rPr>
        <w:t>десять</w:t>
      </w:r>
      <w:r w:rsidR="00963DF3" w:rsidRPr="006F6852">
        <w:rPr>
          <w:sz w:val="24"/>
          <w:szCs w:val="24"/>
          <w:lang w:eastAsia="ru-RU"/>
        </w:rPr>
        <w:t xml:space="preserve">) </w:t>
      </w:r>
      <w:r w:rsidR="00301B06" w:rsidRPr="006F6852">
        <w:rPr>
          <w:sz w:val="24"/>
          <w:szCs w:val="24"/>
          <w:lang w:eastAsia="ru-RU"/>
        </w:rPr>
        <w:t>рабочих</w:t>
      </w:r>
      <w:r w:rsidR="00963DF3" w:rsidRPr="006F6852">
        <w:rPr>
          <w:sz w:val="24"/>
          <w:szCs w:val="24"/>
          <w:lang w:eastAsia="ru-RU"/>
        </w:rPr>
        <w:t xml:space="preserve"> дней до вступления новой редакции настоящей Программы в силу путем размещения новой редакции настоящей </w:t>
      </w:r>
      <w:r w:rsidR="00963DF3" w:rsidRPr="00963DF3">
        <w:rPr>
          <w:color w:val="000000"/>
          <w:sz w:val="24"/>
          <w:szCs w:val="24"/>
          <w:lang w:eastAsia="ru-RU"/>
        </w:rPr>
        <w:t xml:space="preserve">Программы на сайте Банка по адресу: </w:t>
      </w:r>
      <w:hyperlink r:id="rId13" w:history="1">
        <w:r w:rsidR="007E628E" w:rsidRPr="007C6142">
          <w:rPr>
            <w:rStyle w:val="a4"/>
            <w:sz w:val="24"/>
            <w:szCs w:val="24"/>
            <w:lang w:eastAsia="ru-RU"/>
          </w:rPr>
          <w:t>www.</w:t>
        </w:r>
        <w:r w:rsidR="007E628E" w:rsidRPr="007C6142">
          <w:rPr>
            <w:rStyle w:val="a4"/>
            <w:sz w:val="24"/>
            <w:szCs w:val="24"/>
            <w:lang w:val="en-US" w:eastAsia="ru-RU"/>
          </w:rPr>
          <w:t>rostfinance</w:t>
        </w:r>
        <w:r w:rsidR="007E628E" w:rsidRPr="007C6142">
          <w:rPr>
            <w:rStyle w:val="a4"/>
            <w:sz w:val="24"/>
            <w:szCs w:val="24"/>
            <w:lang w:eastAsia="ru-RU"/>
          </w:rPr>
          <w:t>.</w:t>
        </w:r>
        <w:proofErr w:type="spellStart"/>
        <w:r w:rsidR="007E628E" w:rsidRPr="007C6142">
          <w:rPr>
            <w:rStyle w:val="a4"/>
            <w:sz w:val="24"/>
            <w:szCs w:val="24"/>
            <w:lang w:eastAsia="ru-RU"/>
          </w:rPr>
          <w:t>ru</w:t>
        </w:r>
        <w:proofErr w:type="spellEnd"/>
      </w:hyperlink>
      <w:r w:rsidR="00963DF3" w:rsidRPr="00963DF3">
        <w:rPr>
          <w:color w:val="000000"/>
          <w:sz w:val="24"/>
          <w:szCs w:val="24"/>
          <w:lang w:eastAsia="ru-RU"/>
        </w:rPr>
        <w:t xml:space="preserve">. Дополнительно Банк вправе уведомить Клиентов об изменении Программы путем предоставления Клиентам маркетинговых и/или информационных материалов. Банк не вправе досрочно отозвать настоящую Оферту или внести в нее изменения с нарушением срока, указанного в настоящем пункте. </w:t>
      </w:r>
    </w:p>
    <w:p w:rsidR="00963DF3" w:rsidRPr="00963DF3" w:rsidRDefault="00963DF3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963DF3">
        <w:rPr>
          <w:color w:val="000000"/>
          <w:sz w:val="24"/>
          <w:szCs w:val="24"/>
          <w:lang w:eastAsia="ru-RU"/>
        </w:rPr>
        <w:t xml:space="preserve">Клиент обязуется самостоятельно отслеживать внесение изменений и дополнений в настоящую Программу. Совершение Клиентом действий по использованию Карты и/или настоящей Программы после вступления в силу новой редакции настоящей Программы является подтверждением согласия Клиента с новой редакцией настоящей Программы и Общими условиями программ лояльности. </w:t>
      </w:r>
    </w:p>
    <w:p w:rsidR="00963DF3" w:rsidRPr="00963DF3" w:rsidRDefault="00963DF3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963DF3">
        <w:rPr>
          <w:color w:val="000000"/>
          <w:sz w:val="24"/>
          <w:szCs w:val="24"/>
          <w:lang w:eastAsia="ru-RU"/>
        </w:rPr>
        <w:t xml:space="preserve">Банк вправе исключить любого Клиента из числа участников настоящей Программы и прекратить, таким образом, участие в настоящей Программе такого Клиента без предупреждения, если Клиент не соблюдает правила настоящей Программы и/или совершает мошеннические действия, и/или злоупотребляет какими-либо привилегиями и поощрениями, предоставляемыми Клиенту в рамках настоящей Программы, и/или предоставляет информацию, вводящую в заблуждение. </w:t>
      </w:r>
    </w:p>
    <w:p w:rsidR="00963DF3" w:rsidRDefault="00963DF3" w:rsidP="00E37A7F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963DF3">
        <w:rPr>
          <w:color w:val="000000"/>
          <w:sz w:val="24"/>
          <w:szCs w:val="24"/>
          <w:lang w:eastAsia="ru-RU"/>
        </w:rPr>
        <w:t xml:space="preserve">Банк вправе приостановить возможность начисления и/или </w:t>
      </w:r>
      <w:r w:rsidRPr="000C3205">
        <w:rPr>
          <w:sz w:val="24"/>
          <w:szCs w:val="24"/>
          <w:lang w:eastAsia="ru-RU"/>
        </w:rPr>
        <w:t xml:space="preserve">списания </w:t>
      </w:r>
      <w:r w:rsidR="00D06DFD" w:rsidRPr="000C3205">
        <w:rPr>
          <w:sz w:val="24"/>
          <w:szCs w:val="24"/>
          <w:lang w:eastAsia="ru-RU"/>
        </w:rPr>
        <w:t>Бонусов</w:t>
      </w:r>
      <w:r w:rsidRPr="000C3205">
        <w:rPr>
          <w:sz w:val="24"/>
          <w:szCs w:val="24"/>
          <w:lang w:eastAsia="ru-RU"/>
        </w:rPr>
        <w:t xml:space="preserve"> </w:t>
      </w:r>
      <w:r w:rsidRPr="00963DF3">
        <w:rPr>
          <w:color w:val="000000"/>
          <w:sz w:val="24"/>
          <w:szCs w:val="24"/>
          <w:lang w:eastAsia="ru-RU"/>
        </w:rPr>
        <w:t xml:space="preserve">на период проведения расследования на предмет усмотрения в действиях Клиента элементов мошенничества, и/или нарушения правил настоящей Программы и/или злоупотребления привилегиями и/или поощрениями, предоставляемыми Клиентам в рамках настоящей Программы, и/или в других случаях по усмотрению Банка. </w:t>
      </w:r>
    </w:p>
    <w:p w:rsidR="00C12ABC" w:rsidRDefault="00C12ABC" w:rsidP="00F903C0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Клиент, участвуя в настоящей Программе соглашается на получение рассылок</w:t>
      </w:r>
      <w:r w:rsidRPr="00C12ABC">
        <w:rPr>
          <w:color w:val="000000"/>
          <w:sz w:val="24"/>
          <w:szCs w:val="24"/>
          <w:lang w:eastAsia="ru-RU"/>
        </w:rPr>
        <w:t xml:space="preserve"> сообщений (в том числе коротких текстовых сообщений (SMS))</w:t>
      </w:r>
      <w:r>
        <w:rPr>
          <w:color w:val="000000"/>
          <w:sz w:val="24"/>
          <w:szCs w:val="24"/>
          <w:lang w:eastAsia="ru-RU"/>
        </w:rPr>
        <w:t xml:space="preserve"> по настоящей Программе, а также других рекламных сообщений и, в случае отказа от рассылки рекламных сообщений, обязан предоставить в Банк письменное заявление с отказом от получения данной информации</w:t>
      </w:r>
      <w:r w:rsidR="00F903C0">
        <w:rPr>
          <w:color w:val="000000"/>
          <w:sz w:val="24"/>
          <w:szCs w:val="24"/>
          <w:lang w:eastAsia="ru-RU"/>
        </w:rPr>
        <w:t>.</w:t>
      </w:r>
    </w:p>
    <w:p w:rsidR="00F903C0" w:rsidRPr="007C6142" w:rsidRDefault="00F903C0" w:rsidP="00F903C0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Клиент, участвуя в настоящей Программе, как субъект</w:t>
      </w:r>
      <w:r w:rsidRPr="00F903C0">
        <w:rPr>
          <w:color w:val="000000"/>
          <w:sz w:val="24"/>
          <w:szCs w:val="24"/>
          <w:lang w:eastAsia="ru-RU"/>
        </w:rPr>
        <w:t xml:space="preserve"> персональных данных </w:t>
      </w:r>
      <w:r>
        <w:rPr>
          <w:color w:val="000000"/>
          <w:sz w:val="24"/>
          <w:szCs w:val="24"/>
          <w:lang w:eastAsia="ru-RU"/>
        </w:rPr>
        <w:t xml:space="preserve">согласен </w:t>
      </w:r>
      <w:r w:rsidRPr="00F903C0">
        <w:rPr>
          <w:color w:val="000000"/>
          <w:sz w:val="24"/>
          <w:szCs w:val="24"/>
          <w:lang w:eastAsia="ru-RU"/>
        </w:rPr>
        <w:t xml:space="preserve">на обработку персональных данных в рамках Программы, в том числе третьими лицами, осуществляющими обработку (включая запись, систематизацию, хранение, уточнение, блокирование, извлечение, использование, обезличивание, уничтожение и предоставление) персональных данных по поручению </w:t>
      </w:r>
      <w:r>
        <w:rPr>
          <w:color w:val="000000"/>
          <w:sz w:val="24"/>
          <w:szCs w:val="24"/>
          <w:lang w:eastAsia="ru-RU"/>
        </w:rPr>
        <w:t>Банка.</w:t>
      </w:r>
    </w:p>
    <w:p w:rsidR="002014C9" w:rsidRPr="009076C4" w:rsidRDefault="002014C9" w:rsidP="009076C4">
      <w:pPr>
        <w:pStyle w:val="1"/>
        <w:numPr>
          <w:ilvl w:val="0"/>
          <w:numId w:val="2"/>
        </w:numPr>
        <w:shd w:val="clear" w:color="auto" w:fill="006666"/>
        <w:spacing w:before="240" w:after="120"/>
        <w:ind w:left="431" w:hanging="431"/>
        <w:jc w:val="center"/>
        <w:rPr>
          <w:b/>
          <w:color w:val="FFFFFF" w:themeColor="background1"/>
          <w:szCs w:val="24"/>
        </w:rPr>
      </w:pPr>
      <w:bookmarkStart w:id="11" w:name="_2._%252525252525252525D0%25252525252525"/>
      <w:bookmarkStart w:id="12" w:name="__RefHeading__140_1706477218"/>
      <w:bookmarkStart w:id="13" w:name="_%252525252525252525D0%25252525252525252"/>
      <w:bookmarkStart w:id="14" w:name="__RefHeading__142_1706477218"/>
      <w:bookmarkStart w:id="15" w:name="__RefHeading__144_1706477218"/>
      <w:bookmarkStart w:id="16" w:name="__RefHeading__146_1706477218"/>
      <w:bookmarkStart w:id="17" w:name="__RefHeading__148_1706477218"/>
      <w:bookmarkStart w:id="18" w:name="__RefHeading__150_1706477218"/>
      <w:bookmarkStart w:id="19" w:name="__RefHeading__152_1706477218"/>
      <w:bookmarkStart w:id="20" w:name="__RefHeading__154_1706477218"/>
      <w:bookmarkStart w:id="21" w:name="__RefHeading__156_1706477218"/>
      <w:bookmarkStart w:id="22" w:name="__RefHeading__178_1706477218"/>
      <w:bookmarkStart w:id="23" w:name="__RefHeading__176_1706477218"/>
      <w:bookmarkStart w:id="24" w:name="__RefHeading__174_1706477218"/>
      <w:bookmarkStart w:id="25" w:name="__RefHeading__172_1706477218"/>
      <w:bookmarkStart w:id="26" w:name="__RefHeading__170_1706477218"/>
      <w:bookmarkStart w:id="27" w:name="_12._%252525252525252525D0%2525252525252"/>
      <w:bookmarkStart w:id="28" w:name="__RefHeading__168_1706477218"/>
      <w:bookmarkStart w:id="29" w:name="__RefHeading__166_1706477218"/>
      <w:bookmarkStart w:id="30" w:name="__RefHeading__164_1706477218"/>
      <w:bookmarkStart w:id="31" w:name="__RefHeading__162_1706477218"/>
      <w:bookmarkStart w:id="32" w:name="__RefHeading__160_1706477218"/>
      <w:bookmarkStart w:id="33" w:name="__RefHeading__158_1706477218"/>
      <w:bookmarkStart w:id="34" w:name="__RefHeading__180_1706477218"/>
      <w:bookmarkStart w:id="35" w:name="__RefHeading__182_1706477218"/>
      <w:bookmarkStart w:id="36" w:name="__RefHeading__184_1706477218"/>
      <w:bookmarkStart w:id="37" w:name="__RefHeading__186_1706477218"/>
      <w:bookmarkStart w:id="38" w:name="__RefHeading__188_1706477218"/>
      <w:bookmarkStart w:id="39" w:name="__RefHeading__190_1706477218"/>
      <w:bookmarkStart w:id="40" w:name="__RefHeading__192_1706477218"/>
      <w:bookmarkStart w:id="41" w:name="__RefHeading__194_1706477218"/>
      <w:bookmarkStart w:id="42" w:name="_Toc35128096"/>
      <w:r w:rsidRPr="009076C4">
        <w:rPr>
          <w:b/>
          <w:color w:val="FFFFFF" w:themeColor="background1"/>
          <w:szCs w:val="24"/>
        </w:rPr>
        <w:t>П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9076C4">
        <w:rPr>
          <w:b/>
          <w:color w:val="FFFFFF" w:themeColor="background1"/>
          <w:szCs w:val="24"/>
        </w:rPr>
        <w:t>риложения</w:t>
      </w:r>
      <w:bookmarkEnd w:id="42"/>
      <w:r w:rsidRPr="009076C4">
        <w:rPr>
          <w:b/>
          <w:color w:val="FFFFFF" w:themeColor="background1"/>
          <w:szCs w:val="24"/>
        </w:rPr>
        <w:t xml:space="preserve"> </w:t>
      </w:r>
    </w:p>
    <w:p w:rsidR="0023550D" w:rsidRPr="0023550D" w:rsidRDefault="0023550D" w:rsidP="0023550D">
      <w:pPr>
        <w:pStyle w:val="afc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jc w:val="both"/>
        <w:rPr>
          <w:b/>
          <w:vanish/>
          <w:color w:val="000000"/>
          <w:sz w:val="24"/>
          <w:szCs w:val="24"/>
          <w:lang w:eastAsia="ru-RU"/>
        </w:rPr>
      </w:pPr>
    </w:p>
    <w:p w:rsidR="002014C9" w:rsidRDefault="002014C9" w:rsidP="0023550D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23550D">
        <w:rPr>
          <w:color w:val="000000"/>
          <w:sz w:val="24"/>
          <w:szCs w:val="24"/>
          <w:lang w:eastAsia="ru-RU"/>
        </w:rPr>
        <w:t xml:space="preserve">Приложение № 1. </w:t>
      </w:r>
      <w:r w:rsidRPr="007C6142">
        <w:rPr>
          <w:color w:val="000000"/>
          <w:sz w:val="24"/>
          <w:szCs w:val="24"/>
          <w:lang w:eastAsia="ru-RU"/>
        </w:rPr>
        <w:t>Продукты и тарифы на которые распространяется действие Программы.</w:t>
      </w:r>
    </w:p>
    <w:p w:rsidR="0023550D" w:rsidRPr="001557F6" w:rsidRDefault="0023550D" w:rsidP="002D725A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sz w:val="24"/>
          <w:szCs w:val="24"/>
        </w:rPr>
      </w:pPr>
      <w:r w:rsidRPr="0023550D">
        <w:rPr>
          <w:color w:val="000000"/>
          <w:sz w:val="24"/>
          <w:szCs w:val="24"/>
          <w:lang w:eastAsia="ru-RU"/>
        </w:rPr>
        <w:t xml:space="preserve">Приложение № </w:t>
      </w:r>
      <w:r>
        <w:rPr>
          <w:color w:val="000000"/>
          <w:sz w:val="24"/>
          <w:szCs w:val="24"/>
          <w:lang w:eastAsia="ru-RU"/>
        </w:rPr>
        <w:t>2</w:t>
      </w:r>
      <w:r w:rsidRPr="0023550D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3550D">
        <w:rPr>
          <w:color w:val="000000"/>
          <w:sz w:val="24"/>
          <w:szCs w:val="24"/>
          <w:lang w:eastAsia="ru-RU"/>
        </w:rPr>
        <w:t>Заявление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3550D">
        <w:rPr>
          <w:color w:val="000000"/>
          <w:sz w:val="24"/>
          <w:szCs w:val="24"/>
          <w:lang w:eastAsia="ru-RU"/>
        </w:rPr>
        <w:t>на подключение к программе лояльности «</w:t>
      </w:r>
      <w:r w:rsidR="00627E5C" w:rsidRPr="001557F6">
        <w:rPr>
          <w:sz w:val="24"/>
          <w:szCs w:val="24"/>
        </w:rPr>
        <w:t>Бонусы для всех</w:t>
      </w:r>
      <w:r w:rsidRPr="001557F6">
        <w:rPr>
          <w:sz w:val="24"/>
          <w:szCs w:val="24"/>
        </w:rPr>
        <w:t>» ООО КБ «РостФинанс»</w:t>
      </w:r>
    </w:p>
    <w:p w:rsidR="0023550D" w:rsidRPr="0023550D" w:rsidRDefault="0023550D" w:rsidP="0023550D">
      <w:pPr>
        <w:pStyle w:val="afc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1557F6">
        <w:rPr>
          <w:sz w:val="24"/>
          <w:szCs w:val="24"/>
        </w:rPr>
        <w:t>Приложение № 3. Заявление на отключение от программы лояльности «</w:t>
      </w:r>
      <w:r w:rsidR="00627E5C" w:rsidRPr="001557F6">
        <w:rPr>
          <w:sz w:val="24"/>
          <w:szCs w:val="24"/>
        </w:rPr>
        <w:t>Бонусы для всех</w:t>
      </w:r>
      <w:r w:rsidRPr="001557F6">
        <w:rPr>
          <w:sz w:val="24"/>
          <w:szCs w:val="24"/>
        </w:rPr>
        <w:t>»</w:t>
      </w:r>
      <w:r w:rsidRPr="0023550D">
        <w:rPr>
          <w:color w:val="000000"/>
          <w:sz w:val="24"/>
          <w:szCs w:val="24"/>
          <w:lang w:eastAsia="ru-RU"/>
        </w:rPr>
        <w:t xml:space="preserve"> ООО КБ «РостФинанс»</w:t>
      </w:r>
    </w:p>
    <w:p w:rsidR="002014C9" w:rsidRPr="00B65604" w:rsidRDefault="002014C9" w:rsidP="002014C9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line="259" w:lineRule="auto"/>
        <w:ind w:left="0" w:firstLine="0"/>
        <w:contextualSpacing/>
        <w:jc w:val="center"/>
        <w:outlineLvl w:val="0"/>
        <w:rPr>
          <w:rFonts w:eastAsiaTheme="majorEastAsia"/>
          <w:sz w:val="26"/>
          <w:szCs w:val="26"/>
          <w:lang w:eastAsia="en-US"/>
        </w:rPr>
      </w:pPr>
    </w:p>
    <w:p w:rsidR="002014C9" w:rsidRPr="00963DF3" w:rsidRDefault="002014C9" w:rsidP="002014C9">
      <w:pPr>
        <w:pStyle w:val="afc"/>
        <w:tabs>
          <w:tab w:val="left" w:pos="709"/>
        </w:tabs>
        <w:suppressAutoHyphens w:val="0"/>
        <w:autoSpaceDE w:val="0"/>
        <w:autoSpaceDN w:val="0"/>
        <w:adjustRightInd w:val="0"/>
        <w:spacing w:after="14"/>
        <w:ind w:left="0"/>
        <w:jc w:val="both"/>
        <w:rPr>
          <w:color w:val="000000"/>
          <w:sz w:val="23"/>
          <w:szCs w:val="23"/>
          <w:lang w:eastAsia="ru-RU"/>
        </w:rPr>
      </w:pPr>
    </w:p>
    <w:p w:rsidR="007C6142" w:rsidRDefault="007C6142" w:rsidP="007C6142">
      <w:pPr>
        <w:pageBreakBefore/>
        <w:jc w:val="right"/>
        <w:rPr>
          <w:b/>
          <w:color w:val="000000"/>
          <w:sz w:val="24"/>
          <w:szCs w:val="24"/>
          <w:lang w:eastAsia="ru-RU"/>
        </w:rPr>
      </w:pPr>
      <w:r w:rsidRPr="007C6142">
        <w:rPr>
          <w:b/>
          <w:color w:val="000000"/>
          <w:sz w:val="24"/>
          <w:szCs w:val="24"/>
          <w:lang w:eastAsia="ru-RU"/>
        </w:rPr>
        <w:lastRenderedPageBreak/>
        <w:t xml:space="preserve">Приложение № 1. </w:t>
      </w:r>
    </w:p>
    <w:p w:rsidR="00744D2E" w:rsidRDefault="007C6142" w:rsidP="007C6142">
      <w:pPr>
        <w:pStyle w:val="ae"/>
        <w:jc w:val="right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ru-RU"/>
        </w:rPr>
        <w:t>к</w:t>
      </w:r>
      <w:r w:rsidRPr="007C6142">
        <w:rPr>
          <w:color w:val="000000"/>
          <w:sz w:val="24"/>
          <w:szCs w:val="24"/>
          <w:lang w:eastAsia="ru-RU"/>
        </w:rPr>
        <w:t xml:space="preserve"> Правилам </w:t>
      </w:r>
      <w:r w:rsidRPr="007C6142">
        <w:rPr>
          <w:rFonts w:eastAsia="Calibri"/>
          <w:sz w:val="24"/>
          <w:szCs w:val="24"/>
          <w:lang w:eastAsia="en-US"/>
        </w:rPr>
        <w:t>программы «</w:t>
      </w:r>
      <w:r w:rsidR="00627E5C" w:rsidRPr="001557F6">
        <w:rPr>
          <w:sz w:val="24"/>
          <w:szCs w:val="24"/>
        </w:rPr>
        <w:t>Бонусы для всех</w:t>
      </w:r>
      <w:r w:rsidRPr="007C6142">
        <w:rPr>
          <w:rFonts w:eastAsia="Calibri"/>
          <w:sz w:val="24"/>
          <w:szCs w:val="24"/>
          <w:lang w:eastAsia="en-US"/>
        </w:rPr>
        <w:t xml:space="preserve">» </w:t>
      </w:r>
    </w:p>
    <w:p w:rsidR="007C6142" w:rsidRPr="007C6142" w:rsidRDefault="007C6142" w:rsidP="007C6142">
      <w:pPr>
        <w:pStyle w:val="ae"/>
        <w:jc w:val="right"/>
        <w:rPr>
          <w:rFonts w:eastAsia="Calibri"/>
          <w:sz w:val="24"/>
          <w:szCs w:val="24"/>
          <w:lang w:eastAsia="en-US"/>
        </w:rPr>
      </w:pPr>
      <w:r w:rsidRPr="007C6142">
        <w:rPr>
          <w:rFonts w:eastAsia="Calibri"/>
          <w:sz w:val="24"/>
          <w:szCs w:val="24"/>
          <w:lang w:eastAsia="en-US"/>
        </w:rPr>
        <w:t>ООО КБ «РостФинанс»</w:t>
      </w:r>
    </w:p>
    <w:p w:rsidR="007C6142" w:rsidRDefault="007C6142" w:rsidP="007C6142">
      <w:pPr>
        <w:jc w:val="right"/>
        <w:rPr>
          <w:b/>
          <w:color w:val="000000"/>
          <w:sz w:val="24"/>
          <w:szCs w:val="24"/>
          <w:lang w:eastAsia="ru-RU"/>
        </w:rPr>
      </w:pPr>
    </w:p>
    <w:p w:rsidR="007C6142" w:rsidRPr="00D06DFD" w:rsidRDefault="007C6142" w:rsidP="00D06DFD">
      <w:pPr>
        <w:shd w:val="clear" w:color="auto" w:fill="008080"/>
        <w:jc w:val="center"/>
        <w:rPr>
          <w:b/>
          <w:iCs/>
          <w:color w:val="FFFFFF" w:themeColor="background1"/>
          <w:sz w:val="24"/>
          <w:szCs w:val="24"/>
          <w:lang w:eastAsia="ru-RU"/>
        </w:rPr>
      </w:pPr>
      <w:r w:rsidRPr="00D06DFD">
        <w:rPr>
          <w:b/>
          <w:iCs/>
          <w:color w:val="FFFFFF" w:themeColor="background1"/>
          <w:sz w:val="24"/>
          <w:szCs w:val="24"/>
          <w:lang w:eastAsia="ru-RU"/>
        </w:rPr>
        <w:t>Продукты и тарифы</w:t>
      </w:r>
      <w:r w:rsidR="00023292" w:rsidRPr="00D06DFD">
        <w:rPr>
          <w:b/>
          <w:iCs/>
          <w:color w:val="FFFFFF" w:themeColor="background1"/>
          <w:sz w:val="24"/>
          <w:szCs w:val="24"/>
          <w:lang w:eastAsia="ru-RU"/>
        </w:rPr>
        <w:t>,</w:t>
      </w:r>
      <w:r w:rsidRPr="00D06DFD">
        <w:rPr>
          <w:b/>
          <w:iCs/>
          <w:color w:val="FFFFFF" w:themeColor="background1"/>
          <w:sz w:val="24"/>
          <w:szCs w:val="24"/>
          <w:lang w:eastAsia="ru-RU"/>
        </w:rPr>
        <w:t xml:space="preserve"> на которые распространяется действие Программы.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850"/>
        <w:gridCol w:w="1921"/>
      </w:tblGrid>
      <w:tr w:rsidR="00DC572B" w:rsidRPr="00DC572B" w:rsidTr="00DB5368">
        <w:trPr>
          <w:trHeight w:val="731"/>
        </w:trPr>
        <w:tc>
          <w:tcPr>
            <w:tcW w:w="3539" w:type="dxa"/>
            <w:vAlign w:val="center"/>
          </w:tcPr>
          <w:p w:rsidR="00503A05" w:rsidRPr="00DC572B" w:rsidRDefault="00503A05" w:rsidP="007C614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Продукт/тариф</w:t>
            </w:r>
          </w:p>
        </w:tc>
        <w:tc>
          <w:tcPr>
            <w:tcW w:w="4394" w:type="dxa"/>
            <w:gridSpan w:val="2"/>
            <w:vAlign w:val="center"/>
          </w:tcPr>
          <w:p w:rsidR="00503A05" w:rsidRPr="00DC572B" w:rsidRDefault="00503A05" w:rsidP="00503A05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Процент начисления Бонусов за проведенные операции</w:t>
            </w:r>
          </w:p>
        </w:tc>
        <w:tc>
          <w:tcPr>
            <w:tcW w:w="1921" w:type="dxa"/>
            <w:vAlign w:val="center"/>
          </w:tcPr>
          <w:p w:rsidR="00503A05" w:rsidRPr="00DC572B" w:rsidRDefault="00503A05" w:rsidP="007C614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Максимальный размер Бонусов для начисления в месяц</w:t>
            </w:r>
            <w:r w:rsidR="009378FA"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по всем картам клиента</w:t>
            </w:r>
          </w:p>
        </w:tc>
      </w:tr>
      <w:tr w:rsidR="00DC572B" w:rsidRPr="00DC572B" w:rsidTr="00152395">
        <w:trPr>
          <w:trHeight w:val="70"/>
        </w:trPr>
        <w:tc>
          <w:tcPr>
            <w:tcW w:w="3539" w:type="dxa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Динам</w:t>
            </w:r>
            <w:bookmarkStart w:id="43" w:name="_GoBack"/>
            <w:bookmarkEnd w:id="43"/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ика роста</w:t>
            </w:r>
          </w:p>
        </w:tc>
        <w:tc>
          <w:tcPr>
            <w:tcW w:w="4394" w:type="dxa"/>
            <w:gridSpan w:val="2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921" w:type="dxa"/>
            <w:vMerge w:val="restart"/>
            <w:vAlign w:val="center"/>
          </w:tcPr>
          <w:p w:rsidR="009378FA" w:rsidRPr="00DC572B" w:rsidRDefault="006E7231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2</w:t>
            </w:r>
            <w:r w:rsidR="009378FA" w:rsidRPr="00DC572B">
              <w:rPr>
                <w:rFonts w:eastAsiaTheme="majorEastAsia"/>
                <w:sz w:val="24"/>
                <w:szCs w:val="24"/>
                <w:lang w:eastAsia="en-US"/>
              </w:rPr>
              <w:t>000 Бонусов</w:t>
            </w:r>
          </w:p>
        </w:tc>
      </w:tr>
      <w:tr w:rsidR="00DC572B" w:rsidRPr="00DC572B" w:rsidTr="00152395">
        <w:trPr>
          <w:trHeight w:val="330"/>
        </w:trPr>
        <w:tc>
          <w:tcPr>
            <w:tcW w:w="3539" w:type="dxa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Привилегия роста</w:t>
            </w:r>
          </w:p>
        </w:tc>
        <w:tc>
          <w:tcPr>
            <w:tcW w:w="4394" w:type="dxa"/>
            <w:gridSpan w:val="2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135"/>
        </w:trPr>
        <w:tc>
          <w:tcPr>
            <w:tcW w:w="3539" w:type="dxa"/>
            <w:vAlign w:val="center"/>
          </w:tcPr>
          <w:p w:rsidR="009378FA" w:rsidRPr="00DC572B" w:rsidRDefault="009378FA" w:rsidP="000232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val="en-US" w:eastAsia="ru-RU"/>
              </w:rPr>
              <w:t xml:space="preserve">VIP </w:t>
            </w:r>
            <w:r w:rsidRPr="00DC572B">
              <w:rPr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4394" w:type="dxa"/>
            <w:gridSpan w:val="2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371"/>
        </w:trPr>
        <w:tc>
          <w:tcPr>
            <w:tcW w:w="3539" w:type="dxa"/>
            <w:vMerge w:val="restart"/>
            <w:vAlign w:val="center"/>
          </w:tcPr>
          <w:p w:rsidR="009378FA" w:rsidRPr="00DC572B" w:rsidRDefault="009378FA" w:rsidP="000232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Уникальная</w:t>
            </w:r>
            <w:r w:rsidRPr="00DC572B">
              <w:rPr>
                <w:sz w:val="24"/>
                <w:szCs w:val="24"/>
                <w:lang w:val="en-US" w:eastAsia="ru-RU"/>
              </w:rPr>
              <w:t xml:space="preserve"> </w:t>
            </w:r>
            <w:r w:rsidRPr="00DC572B">
              <w:rPr>
                <w:sz w:val="24"/>
                <w:szCs w:val="24"/>
                <w:lang w:eastAsia="ru-RU"/>
              </w:rPr>
              <w:t>карта</w:t>
            </w:r>
            <w:r w:rsidRPr="00DC572B">
              <w:rPr>
                <w:sz w:val="24"/>
                <w:szCs w:val="24"/>
                <w:lang w:val="en-US" w:eastAsia="ru-RU"/>
              </w:rPr>
              <w:t xml:space="preserve"> MasterCard Standard, MasterCard Gold, </w:t>
            </w:r>
          </w:p>
          <w:p w:rsidR="009378FA" w:rsidRPr="00DC572B" w:rsidRDefault="009378FA" w:rsidP="000232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DC572B">
              <w:rPr>
                <w:sz w:val="24"/>
                <w:szCs w:val="24"/>
                <w:lang w:eastAsia="ru-RU"/>
              </w:rPr>
              <w:t>MasterCard</w:t>
            </w:r>
            <w:proofErr w:type="spellEnd"/>
            <w:r w:rsidRPr="00DC572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72B">
              <w:rPr>
                <w:sz w:val="24"/>
                <w:szCs w:val="24"/>
                <w:lang w:eastAsia="ru-RU"/>
              </w:rPr>
              <w:t>Gold</w:t>
            </w:r>
            <w:proofErr w:type="spellEnd"/>
          </w:p>
        </w:tc>
        <w:tc>
          <w:tcPr>
            <w:tcW w:w="3544" w:type="dxa"/>
            <w:vAlign w:val="center"/>
          </w:tcPr>
          <w:p w:rsidR="009378FA" w:rsidRPr="00DC572B" w:rsidRDefault="009378FA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Style w:val="aff5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9378FA" w:rsidRPr="00DC572B" w:rsidRDefault="00D60CC7" w:rsidP="00023292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="009378FA"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70"/>
        </w:trPr>
        <w:tc>
          <w:tcPr>
            <w:tcW w:w="3539" w:type="dxa"/>
            <w:vMerge/>
            <w:vAlign w:val="center"/>
          </w:tcPr>
          <w:p w:rsidR="009378FA" w:rsidRPr="00DC572B" w:rsidRDefault="009378FA" w:rsidP="00705D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378FA" w:rsidRPr="00DC572B" w:rsidRDefault="009378FA" w:rsidP="00BF5624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78FA" w:rsidRPr="00DC572B" w:rsidRDefault="00D60CC7" w:rsidP="00705D43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="009378FA"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7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9378FA" w:rsidRPr="00DC572B" w:rsidRDefault="009378FA" w:rsidP="00BE69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Уникальная карта МИР классический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A" w:rsidRPr="00DC572B" w:rsidRDefault="009378FA" w:rsidP="00BE691B">
            <w:pPr>
              <w:jc w:val="center"/>
              <w:rPr>
                <w:sz w:val="24"/>
                <w:szCs w:val="24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Style w:val="aff5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A" w:rsidRPr="00DC572B" w:rsidRDefault="00D60CC7" w:rsidP="00023292">
            <w:pPr>
              <w:jc w:val="center"/>
              <w:rPr>
                <w:sz w:val="24"/>
                <w:szCs w:val="24"/>
                <w:lang w:val="en-US"/>
              </w:rPr>
            </w:pPr>
            <w:r w:rsidRPr="00DC572B">
              <w:rPr>
                <w:sz w:val="24"/>
                <w:szCs w:val="24"/>
                <w:lang w:val="en-US"/>
              </w:rPr>
              <w:t>0,5</w:t>
            </w:r>
            <w:r w:rsidR="009378FA" w:rsidRPr="00DC572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921" w:type="dxa"/>
            <w:vMerge/>
            <w:shd w:val="clear" w:color="auto" w:fill="FFC000" w:themeFill="accent4"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144"/>
        </w:trPr>
        <w:tc>
          <w:tcPr>
            <w:tcW w:w="3539" w:type="dxa"/>
            <w:vMerge/>
            <w:shd w:val="clear" w:color="auto" w:fill="auto"/>
            <w:vAlign w:val="center"/>
          </w:tcPr>
          <w:p w:rsidR="009378FA" w:rsidRPr="00DC572B" w:rsidRDefault="009378FA" w:rsidP="00BE69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A" w:rsidRPr="00DC572B" w:rsidRDefault="009378FA" w:rsidP="00023292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A" w:rsidRPr="00DC572B" w:rsidRDefault="00D60CC7" w:rsidP="00023292">
            <w:pPr>
              <w:jc w:val="center"/>
              <w:rPr>
                <w:sz w:val="24"/>
                <w:szCs w:val="24"/>
                <w:lang w:val="en-US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="009378FA" w:rsidRPr="00DC572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559"/>
        </w:trPr>
        <w:tc>
          <w:tcPr>
            <w:tcW w:w="3539" w:type="dxa"/>
            <w:vAlign w:val="center"/>
          </w:tcPr>
          <w:p w:rsidR="009378FA" w:rsidRPr="00DC572B" w:rsidRDefault="009378FA" w:rsidP="000232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Карты для перечисления заработной платы в рамках договоров, заключенных между Банком и организацией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9378FA" w:rsidRPr="00DC572B" w:rsidRDefault="009378FA" w:rsidP="00023292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>0,5%</w:t>
            </w:r>
          </w:p>
        </w:tc>
        <w:tc>
          <w:tcPr>
            <w:tcW w:w="1921" w:type="dxa"/>
            <w:vMerge/>
            <w:vAlign w:val="center"/>
          </w:tcPr>
          <w:p w:rsidR="009378FA" w:rsidRPr="00DC572B" w:rsidRDefault="009378FA" w:rsidP="008B277B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61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 xml:space="preserve">Кредитная карта </w:t>
            </w:r>
            <w:r w:rsidRPr="00DC572B">
              <w:rPr>
                <w:sz w:val="24"/>
                <w:szCs w:val="24"/>
                <w:lang w:val="en-US" w:eastAsia="ru-RU"/>
              </w:rPr>
              <w:t>MasterCard</w:t>
            </w:r>
            <w:r w:rsidRPr="00DC572B">
              <w:rPr>
                <w:sz w:val="24"/>
                <w:szCs w:val="24"/>
                <w:lang w:eastAsia="ru-RU"/>
              </w:rPr>
              <w:t xml:space="preserve"> </w:t>
            </w:r>
            <w:r w:rsidRPr="00DC572B">
              <w:rPr>
                <w:sz w:val="24"/>
                <w:szCs w:val="24"/>
                <w:lang w:val="en-US" w:eastAsia="ru-RU"/>
              </w:rPr>
              <w:t>Gold</w:t>
            </w:r>
          </w:p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 xml:space="preserve">Цифровая Кредитная карта </w:t>
            </w:r>
            <w:r w:rsidRPr="00DC572B">
              <w:rPr>
                <w:sz w:val="24"/>
                <w:szCs w:val="24"/>
                <w:lang w:val="en-US" w:eastAsia="ru-RU"/>
              </w:rPr>
              <w:t>MasterCard</w:t>
            </w:r>
            <w:r w:rsidRPr="00DC572B">
              <w:rPr>
                <w:sz w:val="24"/>
                <w:szCs w:val="24"/>
                <w:lang w:eastAsia="ru-RU"/>
              </w:rPr>
              <w:t xml:space="preserve"> </w:t>
            </w:r>
            <w:r w:rsidRPr="00DC572B">
              <w:rPr>
                <w:sz w:val="24"/>
                <w:szCs w:val="24"/>
                <w:lang w:val="en-US" w:eastAsia="ru-RU"/>
              </w:rPr>
              <w:t>Gold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114"/>
        </w:trPr>
        <w:tc>
          <w:tcPr>
            <w:tcW w:w="3539" w:type="dxa"/>
            <w:vMerge/>
            <w:shd w:val="clear" w:color="auto" w:fill="auto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  <w:tr w:rsidR="00DC572B" w:rsidRPr="00DC572B" w:rsidTr="00152395">
        <w:trPr>
          <w:trHeight w:val="562"/>
        </w:trPr>
        <w:tc>
          <w:tcPr>
            <w:tcW w:w="3539" w:type="dxa"/>
            <w:vMerge w:val="restart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Кредитная карта МИР</w:t>
            </w:r>
          </w:p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Цифровая кредитная карта МИР</w:t>
            </w: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Style w:val="aff5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572B" w:rsidRPr="00DC572B" w:rsidTr="00DB5368">
        <w:trPr>
          <w:trHeight w:val="70"/>
        </w:trPr>
        <w:tc>
          <w:tcPr>
            <w:tcW w:w="3539" w:type="dxa"/>
            <w:vMerge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</w:p>
        </w:tc>
      </w:tr>
      <w:tr w:rsidR="00DC572B" w:rsidRPr="00DC572B" w:rsidTr="00152395">
        <w:trPr>
          <w:trHeight w:val="562"/>
        </w:trPr>
        <w:tc>
          <w:tcPr>
            <w:tcW w:w="3539" w:type="dxa"/>
            <w:vMerge w:val="restart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572B">
              <w:rPr>
                <w:sz w:val="24"/>
                <w:szCs w:val="24"/>
                <w:lang w:eastAsia="ru-RU"/>
              </w:rPr>
              <w:t>Цифровая карта</w:t>
            </w:r>
          </w:p>
          <w:p w:rsidR="00B039CD" w:rsidRPr="00DC572B" w:rsidRDefault="00B039CD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</w:p>
        </w:tc>
      </w:tr>
      <w:tr w:rsidR="00DC572B" w:rsidRPr="00DC572B" w:rsidTr="00152395">
        <w:trPr>
          <w:trHeight w:val="70"/>
        </w:trPr>
        <w:tc>
          <w:tcPr>
            <w:tcW w:w="3539" w:type="dxa"/>
            <w:vMerge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</w:p>
        </w:tc>
      </w:tr>
      <w:tr w:rsidR="00DC572B" w:rsidRPr="00DC572B" w:rsidTr="00152395">
        <w:trPr>
          <w:trHeight w:val="562"/>
        </w:trPr>
        <w:tc>
          <w:tcPr>
            <w:tcW w:w="3539" w:type="dxa"/>
            <w:vMerge w:val="restart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C572B">
              <w:rPr>
                <w:sz w:val="24"/>
                <w:szCs w:val="24"/>
              </w:rPr>
              <w:t>Ваша</w:t>
            </w:r>
            <w:r w:rsidRPr="00DC572B">
              <w:rPr>
                <w:sz w:val="24"/>
                <w:szCs w:val="24"/>
                <w:lang w:val="en-US"/>
              </w:rPr>
              <w:t xml:space="preserve"> </w:t>
            </w:r>
            <w:r w:rsidRPr="00DC572B">
              <w:rPr>
                <w:sz w:val="24"/>
                <w:szCs w:val="24"/>
              </w:rPr>
              <w:t>зарплата</w:t>
            </w:r>
            <w:r w:rsidRPr="00DC572B">
              <w:rPr>
                <w:sz w:val="24"/>
                <w:szCs w:val="24"/>
                <w:lang w:val="en-US"/>
              </w:rPr>
              <w:t xml:space="preserve"> </w:t>
            </w:r>
            <w:r w:rsidRPr="00DC572B">
              <w:rPr>
                <w:sz w:val="24"/>
                <w:szCs w:val="24"/>
                <w:lang w:val="en-US" w:eastAsia="ru-RU"/>
              </w:rPr>
              <w:t>MasterCard Standard, MasterCard Gold</w:t>
            </w:r>
          </w:p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C572B">
              <w:rPr>
                <w:sz w:val="24"/>
                <w:szCs w:val="24"/>
              </w:rPr>
              <w:t>Ваша</w:t>
            </w:r>
            <w:r w:rsidRPr="00DC572B">
              <w:rPr>
                <w:sz w:val="24"/>
                <w:szCs w:val="24"/>
                <w:lang w:val="en-US"/>
              </w:rPr>
              <w:t xml:space="preserve"> </w:t>
            </w:r>
            <w:r w:rsidRPr="00DC572B">
              <w:rPr>
                <w:sz w:val="24"/>
                <w:szCs w:val="24"/>
              </w:rPr>
              <w:t>зарплата</w:t>
            </w:r>
            <w:r w:rsidRPr="00DC572B">
              <w:rPr>
                <w:sz w:val="24"/>
                <w:szCs w:val="24"/>
                <w:lang w:val="en-US"/>
              </w:rPr>
              <w:t xml:space="preserve"> (VIP) </w:t>
            </w:r>
            <w:r w:rsidRPr="00DC572B">
              <w:rPr>
                <w:sz w:val="24"/>
                <w:szCs w:val="24"/>
                <w:lang w:val="en-US" w:eastAsia="ru-RU"/>
              </w:rPr>
              <w:t>MasterCard Standard, MasterCard Gold</w:t>
            </w: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572B" w:rsidRPr="00DC572B" w:rsidTr="00152395">
        <w:trPr>
          <w:trHeight w:val="562"/>
        </w:trPr>
        <w:tc>
          <w:tcPr>
            <w:tcW w:w="3539" w:type="dxa"/>
            <w:vMerge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rFonts w:eastAsiaTheme="majorEastAsia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572B" w:rsidRPr="00DC572B" w:rsidTr="00152395">
        <w:trPr>
          <w:trHeight w:val="562"/>
        </w:trPr>
        <w:tc>
          <w:tcPr>
            <w:tcW w:w="3539" w:type="dxa"/>
            <w:vMerge w:val="restart"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>Ваша зарплата МИР</w:t>
            </w:r>
          </w:p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>Ваша зарплата (</w:t>
            </w:r>
            <w:r w:rsidRPr="00DC572B">
              <w:rPr>
                <w:sz w:val="24"/>
                <w:szCs w:val="24"/>
                <w:lang w:val="en-US"/>
              </w:rPr>
              <w:t>VIP</w:t>
            </w:r>
            <w:r w:rsidRPr="00DC572B">
              <w:rPr>
                <w:sz w:val="24"/>
                <w:szCs w:val="24"/>
              </w:rPr>
              <w:t>) МИР</w:t>
            </w: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За операции до 50 000 рублей (включительно) в месяц</w:t>
            </w:r>
            <w:r w:rsidRPr="00DC572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DC572B">
              <w:rPr>
                <w:rFonts w:eastAsiaTheme="majorEastAsia"/>
                <w:sz w:val="24"/>
                <w:szCs w:val="24"/>
                <w:lang w:val="en-US" w:eastAsia="en-US"/>
              </w:rPr>
              <w:t>0,5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</w:p>
        </w:tc>
      </w:tr>
      <w:tr w:rsidR="00DC572B" w:rsidRPr="00DC572B" w:rsidTr="00152395">
        <w:trPr>
          <w:trHeight w:val="70"/>
        </w:trPr>
        <w:tc>
          <w:tcPr>
            <w:tcW w:w="3539" w:type="dxa"/>
            <w:vMerge/>
            <w:vAlign w:val="center"/>
          </w:tcPr>
          <w:p w:rsidR="00D60CC7" w:rsidRPr="00DC572B" w:rsidRDefault="00D60CC7" w:rsidP="00D60C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</w:rPr>
              <w:t xml:space="preserve">За операции от </w:t>
            </w:r>
            <w:r w:rsidRPr="00DC572B">
              <w:rPr>
                <w:rFonts w:eastAsiaTheme="majorEastAsia"/>
                <w:sz w:val="24"/>
                <w:szCs w:val="24"/>
                <w:lang w:eastAsia="en-US"/>
              </w:rPr>
              <w:t>50 000</w:t>
            </w:r>
            <w:r w:rsidRPr="00DC572B">
              <w:rPr>
                <w:sz w:val="24"/>
                <w:szCs w:val="24"/>
              </w:rPr>
              <w:t xml:space="preserve"> и более</w:t>
            </w:r>
            <w:r w:rsidRPr="00DC572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:rsidR="00D60CC7" w:rsidRPr="00DC572B" w:rsidRDefault="00D60CC7" w:rsidP="00D60CC7">
            <w:pPr>
              <w:jc w:val="center"/>
              <w:rPr>
                <w:sz w:val="24"/>
                <w:szCs w:val="24"/>
              </w:rPr>
            </w:pPr>
            <w:r w:rsidRPr="00DC572B">
              <w:rPr>
                <w:sz w:val="24"/>
                <w:szCs w:val="24"/>
                <w:lang w:val="en-US"/>
              </w:rPr>
              <w:t>1</w:t>
            </w:r>
            <w:r w:rsidRPr="00DC572B"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vMerge/>
            <w:vAlign w:val="center"/>
          </w:tcPr>
          <w:p w:rsidR="00D60CC7" w:rsidRPr="00DC572B" w:rsidRDefault="00D60CC7" w:rsidP="00D60CC7">
            <w:pPr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</w:tbl>
    <w:p w:rsidR="00B35A8E" w:rsidRDefault="00B35A8E" w:rsidP="00B35A8E">
      <w:pPr>
        <w:pageBreakBefore/>
        <w:jc w:val="right"/>
        <w:rPr>
          <w:b/>
          <w:color w:val="000000"/>
          <w:sz w:val="24"/>
          <w:szCs w:val="24"/>
          <w:lang w:eastAsia="ru-RU"/>
        </w:rPr>
      </w:pPr>
      <w:r w:rsidRPr="007C6142">
        <w:rPr>
          <w:b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b/>
          <w:color w:val="000000"/>
          <w:sz w:val="24"/>
          <w:szCs w:val="24"/>
          <w:lang w:eastAsia="ru-RU"/>
        </w:rPr>
        <w:t>2</w:t>
      </w:r>
      <w:r w:rsidRPr="007C6142">
        <w:rPr>
          <w:b/>
          <w:color w:val="000000"/>
          <w:sz w:val="24"/>
          <w:szCs w:val="24"/>
          <w:lang w:eastAsia="ru-RU"/>
        </w:rPr>
        <w:t xml:space="preserve">. </w:t>
      </w:r>
    </w:p>
    <w:p w:rsidR="00744D2E" w:rsidRDefault="00B35A8E" w:rsidP="00B35A8E">
      <w:pPr>
        <w:pStyle w:val="ae"/>
        <w:jc w:val="right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ru-RU"/>
        </w:rPr>
        <w:t>к</w:t>
      </w:r>
      <w:r w:rsidRPr="007C6142">
        <w:rPr>
          <w:color w:val="000000"/>
          <w:sz w:val="24"/>
          <w:szCs w:val="24"/>
          <w:lang w:eastAsia="ru-RU"/>
        </w:rPr>
        <w:t xml:space="preserve"> Правилам </w:t>
      </w:r>
      <w:r w:rsidRPr="007C6142">
        <w:rPr>
          <w:rFonts w:eastAsia="Calibri"/>
          <w:sz w:val="24"/>
          <w:szCs w:val="24"/>
          <w:lang w:eastAsia="en-US"/>
        </w:rPr>
        <w:t>программы «</w:t>
      </w:r>
      <w:r w:rsidR="00627E5C" w:rsidRPr="001557F6">
        <w:rPr>
          <w:sz w:val="24"/>
          <w:szCs w:val="24"/>
        </w:rPr>
        <w:t>Бонусы для всех</w:t>
      </w:r>
      <w:r w:rsidRPr="001557F6">
        <w:rPr>
          <w:sz w:val="24"/>
          <w:szCs w:val="24"/>
        </w:rPr>
        <w:t>»</w:t>
      </w:r>
      <w:r w:rsidRPr="007C6142">
        <w:rPr>
          <w:rFonts w:eastAsia="Calibri"/>
          <w:sz w:val="24"/>
          <w:szCs w:val="24"/>
          <w:lang w:eastAsia="en-US"/>
        </w:rPr>
        <w:t xml:space="preserve">  </w:t>
      </w:r>
    </w:p>
    <w:p w:rsidR="00B35A8E" w:rsidRDefault="00B35A8E" w:rsidP="00B35A8E">
      <w:pPr>
        <w:pStyle w:val="ae"/>
        <w:jc w:val="right"/>
        <w:rPr>
          <w:rFonts w:eastAsia="Calibri"/>
          <w:sz w:val="24"/>
          <w:szCs w:val="24"/>
          <w:lang w:eastAsia="en-US"/>
        </w:rPr>
      </w:pPr>
      <w:r w:rsidRPr="007C6142">
        <w:rPr>
          <w:rFonts w:eastAsia="Calibri"/>
          <w:sz w:val="24"/>
          <w:szCs w:val="24"/>
          <w:lang w:eastAsia="en-US"/>
        </w:rPr>
        <w:t>ООО КБ «РостФинанс»</w:t>
      </w:r>
    </w:p>
    <w:p w:rsidR="00B35A8E" w:rsidRPr="007C6142" w:rsidRDefault="00B35A8E" w:rsidP="00B35A8E">
      <w:pPr>
        <w:pStyle w:val="ae"/>
        <w:jc w:val="right"/>
        <w:rPr>
          <w:rFonts w:eastAsia="Calibri"/>
          <w:sz w:val="24"/>
          <w:szCs w:val="24"/>
          <w:lang w:eastAsia="en-US"/>
        </w:rPr>
      </w:pPr>
    </w:p>
    <w:p w:rsidR="00B35A8E" w:rsidRPr="002C26C8" w:rsidRDefault="000E2C78" w:rsidP="002C26C8">
      <w:pPr>
        <w:autoSpaceDE w:val="0"/>
        <w:autoSpaceDN w:val="0"/>
        <w:adjustRightInd w:val="0"/>
        <w:jc w:val="center"/>
      </w:pPr>
      <w:r w:rsidRPr="00D83D3C">
        <w:rPr>
          <w:noProof/>
          <w:color w:val="000000"/>
          <w:vertAlign w:val="subscript"/>
          <w:lang w:eastAsia="ru-RU"/>
        </w:rPr>
        <w:drawing>
          <wp:anchor distT="0" distB="0" distL="114300" distR="114300" simplePos="0" relativeHeight="251659264" behindDoc="0" locked="0" layoutInCell="1" allowOverlap="1" wp14:anchorId="5ED3D239" wp14:editId="7F34BFDA">
            <wp:simplePos x="0" y="0"/>
            <wp:positionH relativeFrom="column">
              <wp:posOffset>161290</wp:posOffset>
            </wp:positionH>
            <wp:positionV relativeFrom="paragraph">
              <wp:posOffset>-1905</wp:posOffset>
            </wp:positionV>
            <wp:extent cx="5886450" cy="5810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A8E" w:rsidRPr="002C26C8" w:rsidRDefault="00B35A8E" w:rsidP="002C26C8">
      <w:pPr>
        <w:autoSpaceDE w:val="0"/>
        <w:autoSpaceDN w:val="0"/>
        <w:adjustRightInd w:val="0"/>
        <w:jc w:val="both"/>
      </w:pPr>
    </w:p>
    <w:p w:rsidR="00B35A8E" w:rsidRPr="00503A05" w:rsidRDefault="00B35A8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3A05">
        <w:rPr>
          <w:b/>
          <w:sz w:val="24"/>
          <w:szCs w:val="24"/>
        </w:rPr>
        <w:t>Заявление</w:t>
      </w:r>
    </w:p>
    <w:p w:rsidR="00B35A8E" w:rsidRPr="00503A05" w:rsidRDefault="00B35A8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3A05">
        <w:rPr>
          <w:b/>
          <w:sz w:val="24"/>
          <w:szCs w:val="24"/>
        </w:rPr>
        <w:t>на подключение к программе лояльности «</w:t>
      </w:r>
      <w:r w:rsidR="00627E5C" w:rsidRPr="001557F6">
        <w:rPr>
          <w:b/>
          <w:sz w:val="24"/>
          <w:szCs w:val="24"/>
        </w:rPr>
        <w:t>Бонусы для всех</w:t>
      </w:r>
      <w:r w:rsidRPr="001557F6">
        <w:rPr>
          <w:b/>
          <w:sz w:val="24"/>
          <w:szCs w:val="24"/>
        </w:rPr>
        <w:t>»</w:t>
      </w:r>
    </w:p>
    <w:p w:rsidR="00B35A8E" w:rsidRPr="00503A05" w:rsidRDefault="00B35A8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3A05">
        <w:rPr>
          <w:b/>
          <w:sz w:val="24"/>
          <w:szCs w:val="24"/>
        </w:rPr>
        <w:t>ООО КБ «РостФинанс»</w:t>
      </w:r>
    </w:p>
    <w:p w:rsidR="00B35A8E" w:rsidRPr="00B35A8E" w:rsidRDefault="00B35A8E" w:rsidP="00B35A8E">
      <w:pPr>
        <w:autoSpaceDE w:val="0"/>
        <w:autoSpaceDN w:val="0"/>
        <w:adjustRightInd w:val="0"/>
        <w:jc w:val="center"/>
        <w:rPr>
          <w:b/>
        </w:rPr>
      </w:pPr>
    </w:p>
    <w:p w:rsidR="00B35A8E" w:rsidRPr="00261B35" w:rsidRDefault="00B35A8E" w:rsidP="00B35A8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9119"/>
      </w:tblGrid>
      <w:tr w:rsidR="00B35A8E" w:rsidRPr="00261B35" w:rsidTr="000E2C78">
        <w:trPr>
          <w:trHeight w:hRule="exact"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A8E" w:rsidRPr="00261B35" w:rsidRDefault="00B35A8E" w:rsidP="00091414">
            <w:pPr>
              <w:ind w:left="-108"/>
              <w:jc w:val="both"/>
              <w:rPr>
                <w:color w:val="000000"/>
                <w:lang w:val="en-US"/>
              </w:rPr>
            </w:pPr>
            <w:r w:rsidRPr="00261B35">
              <w:rPr>
                <w:color w:val="000000"/>
                <w:lang w:eastAsia="en-US"/>
              </w:rPr>
              <w:t>ФИО</w:t>
            </w:r>
          </w:p>
        </w:tc>
        <w:tc>
          <w:tcPr>
            <w:tcW w:w="9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5A8E" w:rsidRPr="00261B35" w:rsidRDefault="00B35A8E" w:rsidP="00091414">
            <w:pPr>
              <w:rPr>
                <w:lang w:val="en-US"/>
              </w:rPr>
            </w:pPr>
          </w:p>
        </w:tc>
      </w:tr>
    </w:tbl>
    <w:p w:rsidR="00B35A8E" w:rsidRPr="00261B35" w:rsidRDefault="00B35A8E" w:rsidP="00B35A8E">
      <w:pPr>
        <w:jc w:val="center"/>
        <w:rPr>
          <w:b/>
        </w:rPr>
      </w:pPr>
    </w:p>
    <w:p w:rsidR="00B35A8E" w:rsidRPr="00261B35" w:rsidRDefault="00B35A8E" w:rsidP="00B35A8E">
      <w:pPr>
        <w:autoSpaceDE w:val="0"/>
        <w:autoSpaceDN w:val="0"/>
        <w:adjustRightInd w:val="0"/>
      </w:pPr>
      <w:r w:rsidRPr="00261B35">
        <w:t>Документ удостоверяющий личность: ____________________________________________</w:t>
      </w:r>
      <w:r>
        <w:t>____________</w:t>
      </w:r>
    </w:p>
    <w:p w:rsidR="00B35A8E" w:rsidRPr="00261B35" w:rsidRDefault="00B35A8E" w:rsidP="00B35A8E">
      <w:pPr>
        <w:autoSpaceDE w:val="0"/>
        <w:autoSpaceDN w:val="0"/>
        <w:adjustRightInd w:val="0"/>
        <w:ind w:left="4248" w:firstLine="708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Pr="00261B35">
        <w:rPr>
          <w:vertAlign w:val="superscript"/>
        </w:rPr>
        <w:t>Наименование документа</w:t>
      </w:r>
    </w:p>
    <w:p w:rsidR="00B35A8E" w:rsidRPr="00261B35" w:rsidRDefault="00B35A8E" w:rsidP="00B35A8E">
      <w:pPr>
        <w:autoSpaceDE w:val="0"/>
        <w:autoSpaceDN w:val="0"/>
        <w:adjustRightInd w:val="0"/>
      </w:pPr>
      <w:r w:rsidRPr="00261B35">
        <w:t>____________________________ _________________________________________________</w:t>
      </w:r>
      <w:r>
        <w:t>____________</w:t>
      </w:r>
    </w:p>
    <w:p w:rsidR="00B35A8E" w:rsidRPr="00261B35" w:rsidRDefault="00B35A8E" w:rsidP="00B35A8E">
      <w:pPr>
        <w:autoSpaceDE w:val="0"/>
        <w:autoSpaceDN w:val="0"/>
        <w:adjustRightInd w:val="0"/>
        <w:ind w:left="708" w:firstLine="708"/>
        <w:rPr>
          <w:vertAlign w:val="superscript"/>
        </w:rPr>
      </w:pPr>
      <w:r>
        <w:rPr>
          <w:vertAlign w:val="superscript"/>
        </w:rPr>
        <w:t>Серия, номер</w:t>
      </w:r>
      <w:r w:rsidRPr="00261B35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</w:t>
      </w:r>
      <w:r w:rsidRPr="00261B35">
        <w:rPr>
          <w:vertAlign w:val="superscript"/>
        </w:rPr>
        <w:t>сведения о дате выдачи документа и выдавшем его органе</w:t>
      </w:r>
    </w:p>
    <w:p w:rsidR="00B35A8E" w:rsidRPr="00261B35" w:rsidRDefault="00B35A8E" w:rsidP="00B35A8E">
      <w:pPr>
        <w:autoSpaceDE w:val="0"/>
        <w:autoSpaceDN w:val="0"/>
        <w:adjustRightInd w:val="0"/>
        <w:jc w:val="center"/>
      </w:pPr>
    </w:p>
    <w:p w:rsidR="00B35A8E" w:rsidRPr="00261B35" w:rsidRDefault="00B35A8E" w:rsidP="00B35A8E">
      <w:pPr>
        <w:autoSpaceDE w:val="0"/>
        <w:autoSpaceDN w:val="0"/>
        <w:adjustRightInd w:val="0"/>
        <w:ind w:firstLine="567"/>
        <w:jc w:val="both"/>
      </w:pPr>
      <w:r w:rsidRPr="00261B35">
        <w:t xml:space="preserve">Прошу ООО КБ «РостФинанс» </w:t>
      </w:r>
      <w:r>
        <w:t>подключить</w:t>
      </w:r>
      <w:r w:rsidRPr="00261B35">
        <w:t xml:space="preserve"> меня </w:t>
      </w:r>
      <w:r>
        <w:t>к</w:t>
      </w:r>
      <w:r w:rsidRPr="00261B35">
        <w:t xml:space="preserve"> программе лояльности </w:t>
      </w:r>
      <w:r w:rsidR="00627E5C" w:rsidRPr="001557F6">
        <w:t>«Бонусы для всех»</w:t>
      </w:r>
      <w:r w:rsidR="00627E5C">
        <w:t xml:space="preserve"> </w:t>
      </w:r>
      <w:r w:rsidRPr="00261B35">
        <w:t xml:space="preserve">с «_____» _________ 20___г. </w:t>
      </w:r>
      <w:r>
        <w:t>С условиями данной программы ознакомлен и с ними согласен(-сна)</w:t>
      </w:r>
      <w:r w:rsidRPr="00261B35">
        <w:t>.</w:t>
      </w:r>
    </w:p>
    <w:p w:rsidR="00B35A8E" w:rsidRPr="00261B35" w:rsidRDefault="00B35A8E" w:rsidP="00B35A8E">
      <w:pPr>
        <w:autoSpaceDE w:val="0"/>
        <w:autoSpaceDN w:val="0"/>
        <w:adjustRightInd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52"/>
        <w:gridCol w:w="2359"/>
        <w:gridCol w:w="652"/>
        <w:gridCol w:w="3319"/>
      </w:tblGrid>
      <w:tr w:rsidR="00B35A8E" w:rsidTr="00091414">
        <w:tc>
          <w:tcPr>
            <w:tcW w:w="311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  <w:r>
              <w:t>«___» _________ 20___ г.</w:t>
            </w:r>
          </w:p>
        </w:tc>
        <w:tc>
          <w:tcPr>
            <w:tcW w:w="70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</w:tr>
      <w:tr w:rsidR="00B35A8E" w:rsidTr="00091414">
        <w:tc>
          <w:tcPr>
            <w:tcW w:w="311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center"/>
            </w:pPr>
            <w:r w:rsidRPr="002D15B3">
              <w:t>подпись</w:t>
            </w:r>
          </w:p>
        </w:tc>
        <w:tc>
          <w:tcPr>
            <w:tcW w:w="709" w:type="dxa"/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</w:tr>
    </w:tbl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both"/>
      </w:pPr>
    </w:p>
    <w:p w:rsidR="00B35A8E" w:rsidRDefault="00B35A8E" w:rsidP="00B35A8E">
      <w:pPr>
        <w:autoSpaceDE w:val="0"/>
        <w:autoSpaceDN w:val="0"/>
        <w:adjustRightInd w:val="0"/>
        <w:jc w:val="center"/>
      </w:pPr>
    </w:p>
    <w:p w:rsidR="00B35A8E" w:rsidRPr="002D15B3" w:rsidRDefault="00B35A8E" w:rsidP="00B35A8E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Отметки Банка</w:t>
      </w:r>
    </w:p>
    <w:p w:rsidR="00B35A8E" w:rsidRDefault="00B35A8E" w:rsidP="00B35A8E">
      <w:pPr>
        <w:tabs>
          <w:tab w:val="left" w:pos="993"/>
        </w:tabs>
        <w:spacing w:before="1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Заявление принято</w:t>
      </w:r>
      <w:r>
        <w:rPr>
          <w:sz w:val="22"/>
          <w:szCs w:val="22"/>
          <w:lang w:val="en-US"/>
        </w:rPr>
        <w:t>:</w:t>
      </w:r>
    </w:p>
    <w:p w:rsidR="00B35A8E" w:rsidRPr="00261B35" w:rsidRDefault="00B35A8E" w:rsidP="00B35A8E">
      <w:pPr>
        <w:tabs>
          <w:tab w:val="left" w:pos="993"/>
        </w:tabs>
        <w:jc w:val="both"/>
        <w:rPr>
          <w:sz w:val="22"/>
          <w:szCs w:val="22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52"/>
        <w:gridCol w:w="2359"/>
        <w:gridCol w:w="652"/>
        <w:gridCol w:w="3319"/>
      </w:tblGrid>
      <w:tr w:rsidR="00B35A8E" w:rsidTr="00091414">
        <w:tc>
          <w:tcPr>
            <w:tcW w:w="311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  <w:r>
              <w:t>«___» _________ 20___ г.</w:t>
            </w:r>
          </w:p>
        </w:tc>
        <w:tc>
          <w:tcPr>
            <w:tcW w:w="70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</w:tr>
      <w:tr w:rsidR="00B35A8E" w:rsidTr="00091414">
        <w:tc>
          <w:tcPr>
            <w:tcW w:w="3119" w:type="dxa"/>
          </w:tcPr>
          <w:p w:rsidR="00B35A8E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center"/>
            </w:pPr>
            <w:r w:rsidRPr="002D15B3">
              <w:t>подпись</w:t>
            </w:r>
          </w:p>
        </w:tc>
        <w:tc>
          <w:tcPr>
            <w:tcW w:w="709" w:type="dxa"/>
          </w:tcPr>
          <w:p w:rsidR="00B35A8E" w:rsidRPr="002D15B3" w:rsidRDefault="00B35A8E" w:rsidP="000914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B35A8E" w:rsidRDefault="00B35A8E" w:rsidP="00091414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</w:tr>
    </w:tbl>
    <w:p w:rsidR="00B35A8E" w:rsidRDefault="00B35A8E" w:rsidP="00B35A8E">
      <w:pPr>
        <w:tabs>
          <w:tab w:val="left" w:pos="993"/>
        </w:tabs>
        <w:jc w:val="both"/>
        <w:rPr>
          <w:sz w:val="22"/>
          <w:szCs w:val="22"/>
        </w:rPr>
      </w:pPr>
    </w:p>
    <w:p w:rsidR="00B35A8E" w:rsidRDefault="00B35A8E" w:rsidP="007C6142">
      <w:pPr>
        <w:jc w:val="center"/>
        <w:rPr>
          <w:rFonts w:eastAsiaTheme="majorEastAsia"/>
          <w:sz w:val="24"/>
          <w:szCs w:val="24"/>
          <w:lang w:eastAsia="en-US"/>
        </w:rPr>
      </w:pPr>
    </w:p>
    <w:p w:rsidR="00744D2E" w:rsidRDefault="00744D2E" w:rsidP="00744D2E">
      <w:pPr>
        <w:pageBreakBefore/>
        <w:jc w:val="right"/>
        <w:rPr>
          <w:b/>
          <w:color w:val="000000"/>
          <w:sz w:val="24"/>
          <w:szCs w:val="24"/>
          <w:lang w:eastAsia="ru-RU"/>
        </w:rPr>
      </w:pPr>
      <w:r w:rsidRPr="007C6142">
        <w:rPr>
          <w:b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1F6368">
        <w:rPr>
          <w:b/>
          <w:color w:val="000000"/>
          <w:sz w:val="24"/>
          <w:szCs w:val="24"/>
          <w:lang w:eastAsia="ru-RU"/>
        </w:rPr>
        <w:t>3</w:t>
      </w:r>
      <w:r w:rsidRPr="007C6142">
        <w:rPr>
          <w:b/>
          <w:color w:val="000000"/>
          <w:sz w:val="24"/>
          <w:szCs w:val="24"/>
          <w:lang w:eastAsia="ru-RU"/>
        </w:rPr>
        <w:t xml:space="preserve">. </w:t>
      </w:r>
    </w:p>
    <w:p w:rsidR="00744D2E" w:rsidRDefault="00744D2E" w:rsidP="00744D2E">
      <w:pPr>
        <w:pStyle w:val="ae"/>
        <w:jc w:val="right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ru-RU"/>
        </w:rPr>
        <w:t>к</w:t>
      </w:r>
      <w:r w:rsidRPr="007C6142">
        <w:rPr>
          <w:color w:val="000000"/>
          <w:sz w:val="24"/>
          <w:szCs w:val="24"/>
          <w:lang w:eastAsia="ru-RU"/>
        </w:rPr>
        <w:t xml:space="preserve"> Правилам </w:t>
      </w:r>
      <w:r w:rsidRPr="007C6142">
        <w:rPr>
          <w:rFonts w:eastAsia="Calibri"/>
          <w:sz w:val="24"/>
          <w:szCs w:val="24"/>
          <w:lang w:eastAsia="en-US"/>
        </w:rPr>
        <w:t>программы «</w:t>
      </w:r>
      <w:r w:rsidR="00627E5C" w:rsidRPr="001557F6">
        <w:rPr>
          <w:rFonts w:eastAsia="Calibri"/>
          <w:sz w:val="24"/>
          <w:szCs w:val="24"/>
          <w:lang w:eastAsia="en-US"/>
        </w:rPr>
        <w:t>Бонусы для всех</w:t>
      </w:r>
      <w:r w:rsidRPr="007C6142">
        <w:rPr>
          <w:rFonts w:eastAsia="Calibri"/>
          <w:sz w:val="24"/>
          <w:szCs w:val="24"/>
          <w:lang w:eastAsia="en-US"/>
        </w:rPr>
        <w:t xml:space="preserve">» для держателей банковских карт  </w:t>
      </w:r>
    </w:p>
    <w:p w:rsidR="00744D2E" w:rsidRDefault="00744D2E" w:rsidP="00744D2E">
      <w:pPr>
        <w:pStyle w:val="ae"/>
        <w:jc w:val="right"/>
        <w:rPr>
          <w:rFonts w:eastAsia="Calibri"/>
          <w:sz w:val="24"/>
          <w:szCs w:val="24"/>
          <w:lang w:eastAsia="en-US"/>
        </w:rPr>
      </w:pPr>
      <w:r w:rsidRPr="007C6142">
        <w:rPr>
          <w:rFonts w:eastAsia="Calibri"/>
          <w:sz w:val="24"/>
          <w:szCs w:val="24"/>
          <w:lang w:eastAsia="en-US"/>
        </w:rPr>
        <w:t>ООО КБ «РостФинанс»</w:t>
      </w:r>
    </w:p>
    <w:p w:rsidR="00744D2E" w:rsidRPr="002C26C8" w:rsidRDefault="00744D2E" w:rsidP="002C26C8">
      <w:pPr>
        <w:autoSpaceDE w:val="0"/>
        <w:autoSpaceDN w:val="0"/>
        <w:adjustRightInd w:val="0"/>
        <w:jc w:val="both"/>
      </w:pPr>
    </w:p>
    <w:p w:rsidR="00744D2E" w:rsidRPr="002C26C8" w:rsidRDefault="00744D2E" w:rsidP="002C26C8">
      <w:pPr>
        <w:autoSpaceDE w:val="0"/>
        <w:autoSpaceDN w:val="0"/>
        <w:adjustRightInd w:val="0"/>
        <w:jc w:val="both"/>
      </w:pPr>
    </w:p>
    <w:p w:rsidR="00744D2E" w:rsidRPr="002D15B3" w:rsidRDefault="000E2C78" w:rsidP="002C26C8">
      <w:pPr>
        <w:autoSpaceDE w:val="0"/>
        <w:autoSpaceDN w:val="0"/>
        <w:adjustRightInd w:val="0"/>
        <w:jc w:val="center"/>
      </w:pPr>
      <w:r w:rsidRPr="00D83D3C">
        <w:rPr>
          <w:noProof/>
          <w:color w:val="000000"/>
          <w:vertAlign w:val="subscript"/>
          <w:lang w:eastAsia="ru-RU"/>
        </w:rPr>
        <w:drawing>
          <wp:anchor distT="0" distB="0" distL="114300" distR="114300" simplePos="0" relativeHeight="251661312" behindDoc="0" locked="0" layoutInCell="1" allowOverlap="1" wp14:anchorId="5ED3D239" wp14:editId="7F34BFDA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5886450" cy="581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D2E" w:rsidRPr="002D15B3" w:rsidRDefault="00744D2E" w:rsidP="002C26C8">
      <w:pPr>
        <w:autoSpaceDE w:val="0"/>
        <w:autoSpaceDN w:val="0"/>
        <w:adjustRightInd w:val="0"/>
        <w:jc w:val="both"/>
      </w:pPr>
    </w:p>
    <w:p w:rsidR="00744D2E" w:rsidRPr="00503A05" w:rsidRDefault="00744D2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4" w:name="_Toc531786489"/>
      <w:r w:rsidRPr="00503A05">
        <w:rPr>
          <w:b/>
          <w:sz w:val="24"/>
          <w:szCs w:val="24"/>
        </w:rPr>
        <w:t>Заявление</w:t>
      </w:r>
      <w:bookmarkEnd w:id="44"/>
    </w:p>
    <w:p w:rsidR="00744D2E" w:rsidRPr="00503A05" w:rsidRDefault="00744D2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5" w:name="_Toc531786490"/>
      <w:r w:rsidRPr="00503A05">
        <w:rPr>
          <w:b/>
          <w:sz w:val="24"/>
          <w:szCs w:val="24"/>
        </w:rPr>
        <w:t>на отключение от программы лояльности «</w:t>
      </w:r>
      <w:r w:rsidR="00627E5C" w:rsidRPr="001557F6">
        <w:rPr>
          <w:b/>
          <w:sz w:val="24"/>
          <w:szCs w:val="24"/>
        </w:rPr>
        <w:t>Бонусы для всех</w:t>
      </w:r>
      <w:r w:rsidRPr="00503A05">
        <w:rPr>
          <w:b/>
          <w:sz w:val="24"/>
          <w:szCs w:val="24"/>
        </w:rPr>
        <w:t xml:space="preserve">» </w:t>
      </w:r>
    </w:p>
    <w:p w:rsidR="00744D2E" w:rsidRPr="00503A05" w:rsidRDefault="00744D2E" w:rsidP="00503A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3A05">
        <w:rPr>
          <w:b/>
          <w:sz w:val="24"/>
          <w:szCs w:val="24"/>
        </w:rPr>
        <w:t>ООО КБ «РостФинанс»</w:t>
      </w:r>
      <w:bookmarkEnd w:id="45"/>
    </w:p>
    <w:p w:rsidR="00744D2E" w:rsidRPr="002D15B3" w:rsidRDefault="00744D2E" w:rsidP="00744D2E">
      <w:pPr>
        <w:autoSpaceDE w:val="0"/>
        <w:autoSpaceDN w:val="0"/>
        <w:adjustRightInd w:val="0"/>
        <w:jc w:val="center"/>
        <w:rPr>
          <w:b/>
        </w:rPr>
      </w:pPr>
    </w:p>
    <w:p w:rsidR="00744D2E" w:rsidRPr="00261B35" w:rsidRDefault="00744D2E" w:rsidP="00744D2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977"/>
      </w:tblGrid>
      <w:tr w:rsidR="00744D2E" w:rsidRPr="00261B35" w:rsidTr="000E2C78">
        <w:trPr>
          <w:trHeight w:hRule="exact" w:val="27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D2E" w:rsidRPr="00261B35" w:rsidRDefault="00744D2E" w:rsidP="00091414">
            <w:pPr>
              <w:ind w:left="-108"/>
              <w:jc w:val="both"/>
              <w:rPr>
                <w:color w:val="000000"/>
                <w:lang w:val="en-US"/>
              </w:rPr>
            </w:pPr>
            <w:r w:rsidRPr="00261B35">
              <w:rPr>
                <w:color w:val="000000"/>
                <w:lang w:eastAsia="en-US"/>
              </w:rPr>
              <w:t>ФИО</w:t>
            </w:r>
          </w:p>
        </w:tc>
        <w:tc>
          <w:tcPr>
            <w:tcW w:w="8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D2E" w:rsidRPr="00261B35" w:rsidRDefault="00744D2E" w:rsidP="00091414">
            <w:pPr>
              <w:rPr>
                <w:lang w:val="en-US"/>
              </w:rPr>
            </w:pPr>
          </w:p>
        </w:tc>
      </w:tr>
    </w:tbl>
    <w:p w:rsidR="00744D2E" w:rsidRPr="00261B35" w:rsidRDefault="00744D2E" w:rsidP="00744D2E">
      <w:pPr>
        <w:jc w:val="center"/>
        <w:rPr>
          <w:b/>
        </w:rPr>
      </w:pPr>
    </w:p>
    <w:p w:rsidR="00744D2E" w:rsidRPr="00261B35" w:rsidRDefault="00744D2E" w:rsidP="00744D2E">
      <w:pPr>
        <w:autoSpaceDE w:val="0"/>
        <w:autoSpaceDN w:val="0"/>
        <w:adjustRightInd w:val="0"/>
      </w:pPr>
      <w:r w:rsidRPr="00261B35">
        <w:t>Документ удостоверяющий личность: ____________________________________________</w:t>
      </w:r>
      <w:r>
        <w:t>____________</w:t>
      </w:r>
    </w:p>
    <w:p w:rsidR="00744D2E" w:rsidRPr="00261B35" w:rsidRDefault="00744D2E" w:rsidP="00744D2E">
      <w:pPr>
        <w:autoSpaceDE w:val="0"/>
        <w:autoSpaceDN w:val="0"/>
        <w:adjustRightInd w:val="0"/>
        <w:ind w:left="4248" w:firstLine="708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Pr="00261B35">
        <w:rPr>
          <w:vertAlign w:val="superscript"/>
        </w:rPr>
        <w:t>Наименование документа</w:t>
      </w:r>
    </w:p>
    <w:p w:rsidR="00744D2E" w:rsidRPr="00261B35" w:rsidRDefault="00744D2E" w:rsidP="00744D2E">
      <w:pPr>
        <w:autoSpaceDE w:val="0"/>
        <w:autoSpaceDN w:val="0"/>
        <w:adjustRightInd w:val="0"/>
      </w:pPr>
      <w:r w:rsidRPr="00261B35">
        <w:t>____________________________ _________________________________________________</w:t>
      </w:r>
      <w:r>
        <w:t>____________</w:t>
      </w:r>
    </w:p>
    <w:p w:rsidR="00744D2E" w:rsidRPr="00261B35" w:rsidRDefault="00744D2E" w:rsidP="00744D2E">
      <w:pPr>
        <w:autoSpaceDE w:val="0"/>
        <w:autoSpaceDN w:val="0"/>
        <w:adjustRightInd w:val="0"/>
        <w:ind w:left="708" w:firstLine="708"/>
        <w:rPr>
          <w:vertAlign w:val="superscript"/>
        </w:rPr>
      </w:pPr>
      <w:r>
        <w:rPr>
          <w:vertAlign w:val="superscript"/>
        </w:rPr>
        <w:t>Серия, номер</w:t>
      </w:r>
      <w:r w:rsidRPr="00261B35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</w:t>
      </w:r>
      <w:r w:rsidRPr="00261B35">
        <w:rPr>
          <w:vertAlign w:val="superscript"/>
        </w:rPr>
        <w:t>сведения о дате выдачи документа и выдавшем его органе</w:t>
      </w:r>
    </w:p>
    <w:p w:rsidR="00744D2E" w:rsidRPr="00261B35" w:rsidRDefault="00744D2E" w:rsidP="00744D2E">
      <w:pPr>
        <w:autoSpaceDE w:val="0"/>
        <w:autoSpaceDN w:val="0"/>
        <w:adjustRightInd w:val="0"/>
        <w:jc w:val="center"/>
      </w:pPr>
    </w:p>
    <w:p w:rsidR="00744D2E" w:rsidRPr="00261B35" w:rsidRDefault="00744D2E" w:rsidP="00744D2E">
      <w:pPr>
        <w:autoSpaceDE w:val="0"/>
        <w:autoSpaceDN w:val="0"/>
        <w:adjustRightInd w:val="0"/>
        <w:ind w:firstLine="567"/>
        <w:jc w:val="both"/>
      </w:pPr>
      <w:r w:rsidRPr="00261B35">
        <w:t xml:space="preserve">Прошу ООО КБ «РостФинанс» исключить меня из участия в программе лояльности </w:t>
      </w:r>
      <w:r w:rsidRPr="001557F6">
        <w:t>«</w:t>
      </w:r>
      <w:r w:rsidR="00627E5C" w:rsidRPr="001557F6">
        <w:t>Бонусы для всех»</w:t>
      </w:r>
      <w:r w:rsidR="00627E5C" w:rsidRPr="00627E5C">
        <w:t xml:space="preserve"> </w:t>
      </w:r>
      <w:r w:rsidRPr="00261B35">
        <w:t>с «_____» _________ 20___г. Мне разъяснено, что в связи с этим</w:t>
      </w:r>
      <w:r>
        <w:t>,</w:t>
      </w:r>
      <w:r w:rsidRPr="00261B35">
        <w:t xml:space="preserve"> все накопленные в рамках программы</w:t>
      </w:r>
      <w:r>
        <w:t>,</w:t>
      </w:r>
      <w:r w:rsidRPr="00261B35">
        <w:t xml:space="preserve"> бонусы будут аннулированы.</w:t>
      </w:r>
    </w:p>
    <w:p w:rsidR="00744D2E" w:rsidRPr="00261B35" w:rsidRDefault="00744D2E" w:rsidP="00744D2E">
      <w:pPr>
        <w:autoSpaceDE w:val="0"/>
        <w:autoSpaceDN w:val="0"/>
        <w:adjustRightInd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52"/>
        <w:gridCol w:w="2359"/>
        <w:gridCol w:w="652"/>
        <w:gridCol w:w="3319"/>
      </w:tblGrid>
      <w:tr w:rsidR="00744D2E" w:rsidTr="00091414">
        <w:tc>
          <w:tcPr>
            <w:tcW w:w="311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  <w:r>
              <w:t>«___» _________ 20___ г.</w:t>
            </w:r>
          </w:p>
        </w:tc>
        <w:tc>
          <w:tcPr>
            <w:tcW w:w="70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</w:tr>
      <w:tr w:rsidR="00744D2E" w:rsidTr="00091414">
        <w:tc>
          <w:tcPr>
            <w:tcW w:w="311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center"/>
            </w:pPr>
            <w:r w:rsidRPr="002D15B3">
              <w:t>подпись</w:t>
            </w:r>
          </w:p>
        </w:tc>
        <w:tc>
          <w:tcPr>
            <w:tcW w:w="709" w:type="dxa"/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</w:tr>
    </w:tbl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both"/>
      </w:pPr>
    </w:p>
    <w:p w:rsidR="00744D2E" w:rsidRDefault="00744D2E" w:rsidP="00744D2E">
      <w:pPr>
        <w:autoSpaceDE w:val="0"/>
        <w:autoSpaceDN w:val="0"/>
        <w:adjustRightInd w:val="0"/>
        <w:jc w:val="center"/>
      </w:pPr>
    </w:p>
    <w:p w:rsidR="00744D2E" w:rsidRPr="002D15B3" w:rsidRDefault="00744D2E" w:rsidP="00744D2E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Отметки Банка</w:t>
      </w:r>
    </w:p>
    <w:p w:rsidR="00744D2E" w:rsidRDefault="00744D2E" w:rsidP="00744D2E">
      <w:pPr>
        <w:tabs>
          <w:tab w:val="left" w:pos="993"/>
        </w:tabs>
        <w:spacing w:before="1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Заявление принято</w:t>
      </w:r>
      <w:r>
        <w:rPr>
          <w:sz w:val="22"/>
          <w:szCs w:val="22"/>
          <w:lang w:val="en-US"/>
        </w:rPr>
        <w:t>:</w:t>
      </w:r>
    </w:p>
    <w:p w:rsidR="00744D2E" w:rsidRPr="00261B35" w:rsidRDefault="00744D2E" w:rsidP="00744D2E">
      <w:pPr>
        <w:tabs>
          <w:tab w:val="left" w:pos="993"/>
        </w:tabs>
        <w:jc w:val="both"/>
        <w:rPr>
          <w:sz w:val="22"/>
          <w:szCs w:val="22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52"/>
        <w:gridCol w:w="2359"/>
        <w:gridCol w:w="652"/>
        <w:gridCol w:w="3319"/>
      </w:tblGrid>
      <w:tr w:rsidR="00744D2E" w:rsidTr="00091414">
        <w:tc>
          <w:tcPr>
            <w:tcW w:w="311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  <w:r>
              <w:t>«___» _________ 20___ г.</w:t>
            </w:r>
          </w:p>
        </w:tc>
        <w:tc>
          <w:tcPr>
            <w:tcW w:w="70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</w:tr>
      <w:tr w:rsidR="00744D2E" w:rsidTr="00091414">
        <w:tc>
          <w:tcPr>
            <w:tcW w:w="3119" w:type="dxa"/>
          </w:tcPr>
          <w:p w:rsidR="00744D2E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center"/>
            </w:pPr>
            <w:r w:rsidRPr="002D15B3">
              <w:t>подпись</w:t>
            </w:r>
          </w:p>
        </w:tc>
        <w:tc>
          <w:tcPr>
            <w:tcW w:w="709" w:type="dxa"/>
          </w:tcPr>
          <w:p w:rsidR="00744D2E" w:rsidRPr="002D15B3" w:rsidRDefault="00744D2E" w:rsidP="000914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744D2E" w:rsidRDefault="00744D2E" w:rsidP="00091414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</w:tr>
    </w:tbl>
    <w:p w:rsidR="00744D2E" w:rsidRDefault="00744D2E" w:rsidP="00744D2E">
      <w:pPr>
        <w:pStyle w:val="ae"/>
        <w:jc w:val="right"/>
        <w:rPr>
          <w:rFonts w:eastAsia="Calibri"/>
          <w:sz w:val="24"/>
          <w:szCs w:val="24"/>
          <w:lang w:eastAsia="en-US"/>
        </w:rPr>
      </w:pPr>
    </w:p>
    <w:sectPr w:rsidR="00744D2E" w:rsidSect="007C6142">
      <w:type w:val="continuous"/>
      <w:pgSz w:w="11906" w:h="16838"/>
      <w:pgMar w:top="1134" w:right="1021" w:bottom="1134" w:left="102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A1" w:rsidRDefault="006B3CA1">
      <w:r>
        <w:separator/>
      </w:r>
    </w:p>
  </w:endnote>
  <w:endnote w:type="continuationSeparator" w:id="0">
    <w:p w:rsidR="006B3CA1" w:rsidRDefault="006B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D" w:rsidRDefault="00D06DFD" w:rsidP="004B742F">
    <w:pPr>
      <w:pStyle w:val="ae"/>
      <w:tabs>
        <w:tab w:val="clear" w:pos="8306"/>
        <w:tab w:val="right" w:pos="9746"/>
      </w:tabs>
      <w:jc w:val="right"/>
    </w:pPr>
    <w:r>
      <w:rPr>
        <w:rFonts w:eastAsia="Calibri"/>
        <w:sz w:val="24"/>
        <w:szCs w:val="24"/>
        <w:lang w:eastAsia="en-US"/>
      </w:rPr>
      <w:tab/>
    </w:r>
    <w:sdt>
      <w:sdtPr>
        <w:id w:val="-20414253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572B">
          <w:rPr>
            <w:noProof/>
          </w:rPr>
          <w:t>9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A1" w:rsidRDefault="006B3CA1">
      <w:r>
        <w:separator/>
      </w:r>
    </w:p>
  </w:footnote>
  <w:footnote w:type="continuationSeparator" w:id="0">
    <w:p w:rsidR="006B3CA1" w:rsidRDefault="006B3CA1">
      <w:r>
        <w:continuationSeparator/>
      </w:r>
    </w:p>
  </w:footnote>
  <w:footnote w:id="1">
    <w:p w:rsidR="00D06DFD" w:rsidRPr="004B742F" w:rsidRDefault="00D06DFD" w:rsidP="004B742F">
      <w:pPr>
        <w:pStyle w:val="aff3"/>
        <w:jc w:val="both"/>
        <w:rPr>
          <w:sz w:val="18"/>
          <w:szCs w:val="18"/>
        </w:rPr>
      </w:pPr>
      <w:r w:rsidRPr="004B742F">
        <w:rPr>
          <w:rStyle w:val="aff5"/>
          <w:sz w:val="18"/>
          <w:szCs w:val="18"/>
        </w:rPr>
        <w:footnoteRef/>
      </w:r>
      <w:r w:rsidRPr="004B742F">
        <w:rPr>
          <w:sz w:val="18"/>
          <w:szCs w:val="18"/>
        </w:rPr>
        <w:t xml:space="preserve"> </w:t>
      </w:r>
      <w:r w:rsidRPr="004B742F">
        <w:rPr>
          <w:b/>
          <w:bCs/>
          <w:color w:val="222222"/>
          <w:sz w:val="18"/>
          <w:szCs w:val="18"/>
          <w:shd w:val="clear" w:color="auto" w:fill="FFFFFF"/>
        </w:rPr>
        <w:t>MCC код</w:t>
      </w:r>
      <w:r w:rsidRPr="004B742F">
        <w:rPr>
          <w:color w:val="222222"/>
          <w:sz w:val="18"/>
          <w:szCs w:val="18"/>
          <w:shd w:val="clear" w:color="auto" w:fill="FFFFFF"/>
        </w:rPr>
        <w:t> - четырёхзначный номер, классифицирующий вид деятельности торговой точки при операции оплаты по банковским картам</w:t>
      </w:r>
      <w:r>
        <w:rPr>
          <w:color w:val="222222"/>
          <w:sz w:val="18"/>
          <w:szCs w:val="18"/>
          <w:shd w:val="clear" w:color="auto" w:fill="FFFFFF"/>
        </w:rPr>
        <w:t>.</w:t>
      </w:r>
    </w:p>
  </w:footnote>
  <w:footnote w:id="2">
    <w:p w:rsidR="00D06DFD" w:rsidRPr="0075283B" w:rsidRDefault="00D06DFD" w:rsidP="00F51698">
      <w:pPr>
        <w:pStyle w:val="aff3"/>
        <w:jc w:val="both"/>
        <w:rPr>
          <w:sz w:val="18"/>
          <w:szCs w:val="18"/>
        </w:rPr>
      </w:pPr>
      <w:r>
        <w:rPr>
          <w:rStyle w:val="aff5"/>
        </w:rPr>
        <w:footnoteRef/>
      </w:r>
      <w:r>
        <w:t xml:space="preserve"> </w:t>
      </w:r>
      <w:r w:rsidRPr="0075283B">
        <w:rPr>
          <w:sz w:val="18"/>
          <w:szCs w:val="18"/>
        </w:rPr>
        <w:t xml:space="preserve">Список </w:t>
      </w:r>
      <w:r w:rsidR="00F51698">
        <w:rPr>
          <w:sz w:val="18"/>
          <w:szCs w:val="18"/>
        </w:rPr>
        <w:t>компаний-</w:t>
      </w:r>
      <w:r w:rsidR="00F51698" w:rsidRPr="00F51698">
        <w:rPr>
          <w:sz w:val="18"/>
          <w:szCs w:val="18"/>
        </w:rPr>
        <w:t xml:space="preserve">партнеров и </w:t>
      </w:r>
      <w:r w:rsidR="00F51698" w:rsidRPr="000C3205">
        <w:rPr>
          <w:sz w:val="18"/>
          <w:szCs w:val="18"/>
        </w:rPr>
        <w:t xml:space="preserve">размер </w:t>
      </w:r>
      <w:r w:rsidR="00F51698" w:rsidRPr="000C3205">
        <w:rPr>
          <w:rFonts w:eastAsiaTheme="majorEastAsia"/>
          <w:sz w:val="18"/>
          <w:szCs w:val="18"/>
          <w:lang w:eastAsia="en-US"/>
        </w:rPr>
        <w:t>Бонусов</w:t>
      </w:r>
      <w:r w:rsidRPr="000C3205">
        <w:rPr>
          <w:sz w:val="18"/>
          <w:szCs w:val="18"/>
        </w:rPr>
        <w:t xml:space="preserve">, уплачиваемых за покупки в данных компаниях, устанавливается на усмотрение Банка на основе договоров с данными компаниями </w:t>
      </w:r>
      <w:r w:rsidRPr="0075283B">
        <w:rPr>
          <w:sz w:val="18"/>
          <w:szCs w:val="18"/>
        </w:rPr>
        <w:t xml:space="preserve">и размещается на сайте Банка </w:t>
      </w:r>
      <w:hyperlink r:id="rId1" w:history="1">
        <w:r w:rsidRPr="00DA4398">
          <w:rPr>
            <w:rStyle w:val="a4"/>
            <w:color w:val="006666"/>
            <w:sz w:val="18"/>
            <w:szCs w:val="18"/>
            <w:lang w:eastAsia="ru-RU"/>
          </w:rPr>
          <w:t>www.</w:t>
        </w:r>
        <w:r w:rsidRPr="00DA4398">
          <w:rPr>
            <w:rStyle w:val="a4"/>
            <w:color w:val="006666"/>
            <w:sz w:val="18"/>
            <w:szCs w:val="18"/>
            <w:lang w:val="en-US" w:eastAsia="ru-RU"/>
          </w:rPr>
          <w:t>rostfinance</w:t>
        </w:r>
        <w:r w:rsidRPr="00DA4398">
          <w:rPr>
            <w:rStyle w:val="a4"/>
            <w:color w:val="006666"/>
            <w:sz w:val="18"/>
            <w:szCs w:val="18"/>
            <w:lang w:eastAsia="ru-RU"/>
          </w:rPr>
          <w:t>.</w:t>
        </w:r>
        <w:proofErr w:type="spellStart"/>
        <w:r w:rsidRPr="00DA4398">
          <w:rPr>
            <w:rStyle w:val="a4"/>
            <w:color w:val="006666"/>
            <w:sz w:val="18"/>
            <w:szCs w:val="18"/>
            <w:lang w:eastAsia="ru-RU"/>
          </w:rPr>
          <w:t>ru</w:t>
        </w:r>
        <w:proofErr w:type="spellEnd"/>
      </w:hyperlink>
      <w:r w:rsidRPr="00DA4398">
        <w:rPr>
          <w:color w:val="006666"/>
          <w:sz w:val="18"/>
          <w:szCs w:val="18"/>
          <w:lang w:eastAsia="ru-RU"/>
        </w:rPr>
        <w:t>.</w:t>
      </w:r>
    </w:p>
  </w:footnote>
  <w:footnote w:id="3">
    <w:p w:rsidR="004C7267" w:rsidRDefault="004C7267" w:rsidP="004C7267">
      <w:pPr>
        <w:pStyle w:val="aff3"/>
        <w:jc w:val="both"/>
      </w:pPr>
      <w:r w:rsidRPr="00A30F69">
        <w:rPr>
          <w:rStyle w:val="aff5"/>
        </w:rPr>
        <w:footnoteRef/>
      </w:r>
      <w:r w:rsidRPr="00A30F69">
        <w:t xml:space="preserve"> В случае если валюта счета карты не является рублями, то зачисление производится </w:t>
      </w:r>
      <w:r w:rsidRPr="00CF58B3">
        <w:t xml:space="preserve">по курсу </w:t>
      </w:r>
      <w:r w:rsidR="00F62D0F" w:rsidRPr="00CF58B3">
        <w:t xml:space="preserve">Банка России </w:t>
      </w:r>
      <w:r w:rsidRPr="00CF58B3">
        <w:t xml:space="preserve"> </w:t>
      </w:r>
      <w:r w:rsidR="00A30F69" w:rsidRPr="00CF58B3">
        <w:t xml:space="preserve">валюты счета карты </w:t>
      </w:r>
      <w:r w:rsidRPr="00CF58B3">
        <w:t>(</w:t>
      </w:r>
      <w:r w:rsidR="00905261" w:rsidRPr="00CF58B3">
        <w:t>из рублей в валюту счета карты)</w:t>
      </w:r>
      <w:r w:rsidRPr="00CF58B3">
        <w:t xml:space="preserve"> на дату проведения начисления.</w:t>
      </w:r>
    </w:p>
  </w:footnote>
  <w:footnote w:id="4">
    <w:p w:rsidR="009378FA" w:rsidRDefault="009378FA" w:rsidP="00BF5624">
      <w:pPr>
        <w:pStyle w:val="aff3"/>
        <w:jc w:val="both"/>
      </w:pPr>
      <w:r>
        <w:rPr>
          <w:rStyle w:val="aff5"/>
        </w:rPr>
        <w:footnoteRef/>
      </w:r>
      <w:r>
        <w:t xml:space="preserve"> Ставки для начисления бонусов указаны на каждый интервал сумм покупок и не учитывают суммы, указанные в другом интервале.</w:t>
      </w:r>
    </w:p>
    <w:p w:rsidR="009378FA" w:rsidRDefault="009378FA" w:rsidP="00BF5624">
      <w:pPr>
        <w:pStyle w:val="aff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D" w:rsidRDefault="00D06DFD" w:rsidP="004B742F">
    <w:pPr>
      <w:pStyle w:val="ae"/>
      <w:jc w:val="right"/>
      <w:rPr>
        <w:rFonts w:eastAsia="Calibri"/>
        <w:sz w:val="18"/>
        <w:szCs w:val="18"/>
        <w:lang w:eastAsia="en-US"/>
      </w:rPr>
    </w:pPr>
    <w:r w:rsidRPr="004B742F">
      <w:rPr>
        <w:rFonts w:eastAsia="Calibri"/>
        <w:sz w:val="18"/>
        <w:szCs w:val="18"/>
        <w:lang w:eastAsia="en-US"/>
      </w:rPr>
      <w:t>Правила программы «</w:t>
    </w:r>
    <w:r w:rsidR="00307E5A">
      <w:rPr>
        <w:rFonts w:eastAsia="Calibri"/>
        <w:sz w:val="18"/>
        <w:szCs w:val="18"/>
        <w:lang w:eastAsia="en-US"/>
      </w:rPr>
      <w:t>Бонусы для всех</w:t>
    </w:r>
    <w:r w:rsidRPr="004B742F">
      <w:rPr>
        <w:rFonts w:eastAsia="Calibri"/>
        <w:sz w:val="18"/>
        <w:szCs w:val="18"/>
        <w:lang w:eastAsia="en-US"/>
      </w:rPr>
      <w:t>» ООО КБ «РостФинанс»</w:t>
    </w:r>
  </w:p>
  <w:p w:rsidR="00D06DFD" w:rsidRDefault="00D06DFD" w:rsidP="004B742F">
    <w:pPr>
      <w:pStyle w:val="a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D" w:rsidRDefault="00D06DFD">
    <w:pPr>
      <w:pStyle w:val="ae"/>
    </w:pPr>
  </w:p>
  <w:p w:rsidR="00D06DFD" w:rsidRDefault="00D06D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7EF6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5B02EAB4"/>
    <w:name w:val="WW8Num3"/>
    <w:lvl w:ilvl="0">
      <w:start w:val="8"/>
      <w:numFmt w:val="decimal"/>
      <w:lvlText w:val="%1."/>
      <w:lvlJc w:val="left"/>
      <w:pPr>
        <w:tabs>
          <w:tab w:val="num" w:pos="411"/>
        </w:tabs>
        <w:ind w:left="411" w:hanging="411"/>
      </w:pPr>
    </w:lvl>
    <w:lvl w:ilvl="1">
      <w:start w:val="1"/>
      <w:numFmt w:val="decimal"/>
      <w:lvlText w:val="%1.%2."/>
      <w:lvlJc w:val="left"/>
      <w:pPr>
        <w:tabs>
          <w:tab w:val="num" w:pos="411"/>
        </w:tabs>
        <w:ind w:left="411" w:hanging="41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2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00000011"/>
    <w:multiLevelType w:val="multilevel"/>
    <w:tmpl w:val="1A1CE52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Symbol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Symbol"/>
      </w:r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6" w15:restartNumberingAfterBreak="0">
    <w:nsid w:val="0000001F"/>
    <w:multiLevelType w:val="multilevel"/>
    <w:tmpl w:val="0000001F"/>
    <w:name w:val="WW8Num3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5B82660"/>
    <w:multiLevelType w:val="hybridMultilevel"/>
    <w:tmpl w:val="B0A8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AC3C4C"/>
    <w:multiLevelType w:val="multilevel"/>
    <w:tmpl w:val="E4C61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C478A"/>
    <w:multiLevelType w:val="hybridMultilevel"/>
    <w:tmpl w:val="9A0E95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2128A"/>
    <w:multiLevelType w:val="multilevel"/>
    <w:tmpl w:val="F558B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562072F"/>
    <w:multiLevelType w:val="multilevel"/>
    <w:tmpl w:val="294A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64575CD"/>
    <w:multiLevelType w:val="hybridMultilevel"/>
    <w:tmpl w:val="0E32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E4C2F"/>
    <w:multiLevelType w:val="hybridMultilevel"/>
    <w:tmpl w:val="E16C98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6463A"/>
    <w:multiLevelType w:val="multilevel"/>
    <w:tmpl w:val="2416D4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C261DD"/>
    <w:multiLevelType w:val="hybridMultilevel"/>
    <w:tmpl w:val="6B2A8E5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15713"/>
    <w:multiLevelType w:val="multilevel"/>
    <w:tmpl w:val="6C22EFF0"/>
    <w:lvl w:ilvl="0">
      <w:start w:val="1"/>
      <w:numFmt w:val="decimal"/>
      <w:lvlText w:val="%1."/>
      <w:lvlJc w:val="left"/>
      <w:pPr>
        <w:tabs>
          <w:tab w:val="num" w:pos="5246"/>
        </w:tabs>
        <w:ind w:left="56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40"/>
  </w:num>
  <w:num w:numId="3">
    <w:abstractNumId w:val="35"/>
  </w:num>
  <w:num w:numId="4">
    <w:abstractNumId w:val="37"/>
  </w:num>
  <w:num w:numId="5">
    <w:abstractNumId w:val="33"/>
  </w:num>
  <w:num w:numId="6">
    <w:abstractNumId w:val="36"/>
  </w:num>
  <w:num w:numId="7">
    <w:abstractNumId w:val="39"/>
  </w:num>
  <w:num w:numId="8">
    <w:abstractNumId w:val="31"/>
  </w:num>
  <w:num w:numId="9">
    <w:abstractNumId w:val="3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8"/>
  </w:num>
  <w:num w:numId="20">
    <w:abstractNumId w:val="32"/>
  </w:num>
  <w:num w:numId="21">
    <w:abstractNumId w:val="0"/>
  </w:num>
  <w:num w:numId="22">
    <w:abstractNumId w:val="0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98"/>
    <w:rsid w:val="00003994"/>
    <w:rsid w:val="00004320"/>
    <w:rsid w:val="0000545A"/>
    <w:rsid w:val="000054D4"/>
    <w:rsid w:val="000103A1"/>
    <w:rsid w:val="000107AA"/>
    <w:rsid w:val="00011AF1"/>
    <w:rsid w:val="00012E70"/>
    <w:rsid w:val="0001481A"/>
    <w:rsid w:val="00014F4D"/>
    <w:rsid w:val="000151D5"/>
    <w:rsid w:val="000204FA"/>
    <w:rsid w:val="00022223"/>
    <w:rsid w:val="00023292"/>
    <w:rsid w:val="00030764"/>
    <w:rsid w:val="00030C91"/>
    <w:rsid w:val="00041950"/>
    <w:rsid w:val="00041BCE"/>
    <w:rsid w:val="00041C3E"/>
    <w:rsid w:val="00041E66"/>
    <w:rsid w:val="000575E2"/>
    <w:rsid w:val="00065A62"/>
    <w:rsid w:val="000676FA"/>
    <w:rsid w:val="00072826"/>
    <w:rsid w:val="0007409E"/>
    <w:rsid w:val="00075F29"/>
    <w:rsid w:val="00081B27"/>
    <w:rsid w:val="0008200B"/>
    <w:rsid w:val="00084984"/>
    <w:rsid w:val="000869FE"/>
    <w:rsid w:val="00091414"/>
    <w:rsid w:val="00094599"/>
    <w:rsid w:val="00096405"/>
    <w:rsid w:val="000A0A65"/>
    <w:rsid w:val="000A3AF9"/>
    <w:rsid w:val="000B0816"/>
    <w:rsid w:val="000B200D"/>
    <w:rsid w:val="000B2335"/>
    <w:rsid w:val="000B43EA"/>
    <w:rsid w:val="000B5ADE"/>
    <w:rsid w:val="000C0240"/>
    <w:rsid w:val="000C247F"/>
    <w:rsid w:val="000C3205"/>
    <w:rsid w:val="000C5613"/>
    <w:rsid w:val="000C653D"/>
    <w:rsid w:val="000C65CB"/>
    <w:rsid w:val="000D7249"/>
    <w:rsid w:val="000E07AA"/>
    <w:rsid w:val="000E2C78"/>
    <w:rsid w:val="000E2F8C"/>
    <w:rsid w:val="000E3299"/>
    <w:rsid w:val="000F22A1"/>
    <w:rsid w:val="000F5FC5"/>
    <w:rsid w:val="000F6816"/>
    <w:rsid w:val="00100A47"/>
    <w:rsid w:val="00102467"/>
    <w:rsid w:val="00104EAF"/>
    <w:rsid w:val="001110B8"/>
    <w:rsid w:val="0011659F"/>
    <w:rsid w:val="0012087A"/>
    <w:rsid w:val="00120CF0"/>
    <w:rsid w:val="001212B1"/>
    <w:rsid w:val="0012671A"/>
    <w:rsid w:val="00126C77"/>
    <w:rsid w:val="0013347D"/>
    <w:rsid w:val="00142F3A"/>
    <w:rsid w:val="00143994"/>
    <w:rsid w:val="001440DB"/>
    <w:rsid w:val="00144530"/>
    <w:rsid w:val="00150596"/>
    <w:rsid w:val="00150712"/>
    <w:rsid w:val="001510FC"/>
    <w:rsid w:val="00152395"/>
    <w:rsid w:val="0015468F"/>
    <w:rsid w:val="001557F6"/>
    <w:rsid w:val="00160F74"/>
    <w:rsid w:val="00161610"/>
    <w:rsid w:val="00162894"/>
    <w:rsid w:val="0016291E"/>
    <w:rsid w:val="00163049"/>
    <w:rsid w:val="0016356D"/>
    <w:rsid w:val="00165E8C"/>
    <w:rsid w:val="00167D00"/>
    <w:rsid w:val="0017289B"/>
    <w:rsid w:val="00172D2B"/>
    <w:rsid w:val="00175156"/>
    <w:rsid w:val="00183426"/>
    <w:rsid w:val="00185A1E"/>
    <w:rsid w:val="00196417"/>
    <w:rsid w:val="001A286D"/>
    <w:rsid w:val="001A471A"/>
    <w:rsid w:val="001A62A0"/>
    <w:rsid w:val="001B3307"/>
    <w:rsid w:val="001B3F3A"/>
    <w:rsid w:val="001C0262"/>
    <w:rsid w:val="001C55EC"/>
    <w:rsid w:val="001C5B9C"/>
    <w:rsid w:val="001C67E1"/>
    <w:rsid w:val="001D0FCF"/>
    <w:rsid w:val="001D1A27"/>
    <w:rsid w:val="001D2489"/>
    <w:rsid w:val="001D6410"/>
    <w:rsid w:val="001E0F93"/>
    <w:rsid w:val="001F0132"/>
    <w:rsid w:val="001F2036"/>
    <w:rsid w:val="001F4D68"/>
    <w:rsid w:val="001F6368"/>
    <w:rsid w:val="001F7977"/>
    <w:rsid w:val="001F7BA3"/>
    <w:rsid w:val="00200671"/>
    <w:rsid w:val="002014C9"/>
    <w:rsid w:val="002125DF"/>
    <w:rsid w:val="0021574C"/>
    <w:rsid w:val="00217B6F"/>
    <w:rsid w:val="00221CE2"/>
    <w:rsid w:val="002333AB"/>
    <w:rsid w:val="00233E1D"/>
    <w:rsid w:val="0023550D"/>
    <w:rsid w:val="002364F0"/>
    <w:rsid w:val="00244C1B"/>
    <w:rsid w:val="00255821"/>
    <w:rsid w:val="0025792A"/>
    <w:rsid w:val="00257D81"/>
    <w:rsid w:val="00263496"/>
    <w:rsid w:val="002637EB"/>
    <w:rsid w:val="00270042"/>
    <w:rsid w:val="0027228C"/>
    <w:rsid w:val="00274687"/>
    <w:rsid w:val="002822CF"/>
    <w:rsid w:val="002828EB"/>
    <w:rsid w:val="00285303"/>
    <w:rsid w:val="0028678D"/>
    <w:rsid w:val="00287B81"/>
    <w:rsid w:val="00290570"/>
    <w:rsid w:val="0029167C"/>
    <w:rsid w:val="00294F96"/>
    <w:rsid w:val="00297808"/>
    <w:rsid w:val="00297EEB"/>
    <w:rsid w:val="002A0043"/>
    <w:rsid w:val="002A2EE7"/>
    <w:rsid w:val="002C2008"/>
    <w:rsid w:val="002C26C8"/>
    <w:rsid w:val="002D5F04"/>
    <w:rsid w:val="002D6180"/>
    <w:rsid w:val="002D725A"/>
    <w:rsid w:val="002E2873"/>
    <w:rsid w:val="002E2DA1"/>
    <w:rsid w:val="002E519A"/>
    <w:rsid w:val="002E6F31"/>
    <w:rsid w:val="00301B06"/>
    <w:rsid w:val="00302B2B"/>
    <w:rsid w:val="003051AA"/>
    <w:rsid w:val="003052FF"/>
    <w:rsid w:val="00305C4C"/>
    <w:rsid w:val="00307400"/>
    <w:rsid w:val="00307E5A"/>
    <w:rsid w:val="00313DA9"/>
    <w:rsid w:val="00314C00"/>
    <w:rsid w:val="00322751"/>
    <w:rsid w:val="003279AC"/>
    <w:rsid w:val="00340D55"/>
    <w:rsid w:val="00342C85"/>
    <w:rsid w:val="003506D4"/>
    <w:rsid w:val="0035302E"/>
    <w:rsid w:val="00355FF7"/>
    <w:rsid w:val="00356F67"/>
    <w:rsid w:val="00360096"/>
    <w:rsid w:val="0036557D"/>
    <w:rsid w:val="00365CD9"/>
    <w:rsid w:val="00367168"/>
    <w:rsid w:val="00374E5A"/>
    <w:rsid w:val="00380181"/>
    <w:rsid w:val="00380571"/>
    <w:rsid w:val="00382343"/>
    <w:rsid w:val="00383728"/>
    <w:rsid w:val="00386CA2"/>
    <w:rsid w:val="00387856"/>
    <w:rsid w:val="003915C8"/>
    <w:rsid w:val="0039166B"/>
    <w:rsid w:val="00391B76"/>
    <w:rsid w:val="00395AC4"/>
    <w:rsid w:val="00397E85"/>
    <w:rsid w:val="003A1D84"/>
    <w:rsid w:val="003A29B8"/>
    <w:rsid w:val="003A29E4"/>
    <w:rsid w:val="003A3731"/>
    <w:rsid w:val="003C4383"/>
    <w:rsid w:val="003C46F6"/>
    <w:rsid w:val="003D36D8"/>
    <w:rsid w:val="003D6A1C"/>
    <w:rsid w:val="003D7ABA"/>
    <w:rsid w:val="003E0C17"/>
    <w:rsid w:val="003E3BC2"/>
    <w:rsid w:val="003E3E1D"/>
    <w:rsid w:val="003E5BCA"/>
    <w:rsid w:val="003E6E18"/>
    <w:rsid w:val="003F229F"/>
    <w:rsid w:val="003F245A"/>
    <w:rsid w:val="003F4DF8"/>
    <w:rsid w:val="004049BB"/>
    <w:rsid w:val="004053C7"/>
    <w:rsid w:val="00405B13"/>
    <w:rsid w:val="00407708"/>
    <w:rsid w:val="00410A43"/>
    <w:rsid w:val="00415837"/>
    <w:rsid w:val="004219A3"/>
    <w:rsid w:val="00425CD2"/>
    <w:rsid w:val="004260B0"/>
    <w:rsid w:val="00434D3F"/>
    <w:rsid w:val="00434FD2"/>
    <w:rsid w:val="00435DE3"/>
    <w:rsid w:val="00437122"/>
    <w:rsid w:val="00441ABB"/>
    <w:rsid w:val="00460F1C"/>
    <w:rsid w:val="00464F56"/>
    <w:rsid w:val="004659AA"/>
    <w:rsid w:val="004664DA"/>
    <w:rsid w:val="0047459E"/>
    <w:rsid w:val="004804AA"/>
    <w:rsid w:val="00485297"/>
    <w:rsid w:val="00485EC8"/>
    <w:rsid w:val="00486417"/>
    <w:rsid w:val="004914AF"/>
    <w:rsid w:val="00493D60"/>
    <w:rsid w:val="0049612B"/>
    <w:rsid w:val="004A0958"/>
    <w:rsid w:val="004A09A4"/>
    <w:rsid w:val="004A1691"/>
    <w:rsid w:val="004A3089"/>
    <w:rsid w:val="004A40E7"/>
    <w:rsid w:val="004A4343"/>
    <w:rsid w:val="004A4485"/>
    <w:rsid w:val="004A47A1"/>
    <w:rsid w:val="004B0FA4"/>
    <w:rsid w:val="004B742F"/>
    <w:rsid w:val="004C466E"/>
    <w:rsid w:val="004C7267"/>
    <w:rsid w:val="004D020D"/>
    <w:rsid w:val="004D1B3A"/>
    <w:rsid w:val="004D66C6"/>
    <w:rsid w:val="004E23AC"/>
    <w:rsid w:val="004E33CF"/>
    <w:rsid w:val="004E5C1C"/>
    <w:rsid w:val="004E5F45"/>
    <w:rsid w:val="004F3125"/>
    <w:rsid w:val="00503A05"/>
    <w:rsid w:val="00506ADF"/>
    <w:rsid w:val="005133EC"/>
    <w:rsid w:val="00520056"/>
    <w:rsid w:val="00523EDC"/>
    <w:rsid w:val="00526F66"/>
    <w:rsid w:val="00527467"/>
    <w:rsid w:val="00527BB5"/>
    <w:rsid w:val="00532749"/>
    <w:rsid w:val="0054191A"/>
    <w:rsid w:val="005443AE"/>
    <w:rsid w:val="0054607E"/>
    <w:rsid w:val="005559F6"/>
    <w:rsid w:val="005579C8"/>
    <w:rsid w:val="00560E0F"/>
    <w:rsid w:val="005637C6"/>
    <w:rsid w:val="005641B0"/>
    <w:rsid w:val="00565698"/>
    <w:rsid w:val="005675C4"/>
    <w:rsid w:val="00570C56"/>
    <w:rsid w:val="00574BCF"/>
    <w:rsid w:val="00575DCB"/>
    <w:rsid w:val="00580798"/>
    <w:rsid w:val="00582476"/>
    <w:rsid w:val="00583AF1"/>
    <w:rsid w:val="00596EBB"/>
    <w:rsid w:val="005A0B31"/>
    <w:rsid w:val="005A0BE6"/>
    <w:rsid w:val="005A0CC9"/>
    <w:rsid w:val="005A2316"/>
    <w:rsid w:val="005A5E8D"/>
    <w:rsid w:val="005A69C1"/>
    <w:rsid w:val="005B0C7B"/>
    <w:rsid w:val="005B3F20"/>
    <w:rsid w:val="005B7F52"/>
    <w:rsid w:val="005C307F"/>
    <w:rsid w:val="005D0A7F"/>
    <w:rsid w:val="005E0CEC"/>
    <w:rsid w:val="005E1B21"/>
    <w:rsid w:val="005E518E"/>
    <w:rsid w:val="005F10AD"/>
    <w:rsid w:val="005F1E7F"/>
    <w:rsid w:val="005F369C"/>
    <w:rsid w:val="005F5331"/>
    <w:rsid w:val="005F64A6"/>
    <w:rsid w:val="00622CCD"/>
    <w:rsid w:val="00625A2D"/>
    <w:rsid w:val="00625B7A"/>
    <w:rsid w:val="006278E9"/>
    <w:rsid w:val="00627E5C"/>
    <w:rsid w:val="00630D05"/>
    <w:rsid w:val="00637C26"/>
    <w:rsid w:val="00637F8D"/>
    <w:rsid w:val="006422E2"/>
    <w:rsid w:val="006423CC"/>
    <w:rsid w:val="00643EF7"/>
    <w:rsid w:val="006536F9"/>
    <w:rsid w:val="00653D2B"/>
    <w:rsid w:val="00655FD8"/>
    <w:rsid w:val="00657DB0"/>
    <w:rsid w:val="0066197B"/>
    <w:rsid w:val="00663BB0"/>
    <w:rsid w:val="00664D48"/>
    <w:rsid w:val="0068058D"/>
    <w:rsid w:val="00682BD8"/>
    <w:rsid w:val="006833EB"/>
    <w:rsid w:val="00691512"/>
    <w:rsid w:val="006A1BFB"/>
    <w:rsid w:val="006A56EE"/>
    <w:rsid w:val="006B3CA1"/>
    <w:rsid w:val="006B74AC"/>
    <w:rsid w:val="006B770B"/>
    <w:rsid w:val="006C2E81"/>
    <w:rsid w:val="006C6176"/>
    <w:rsid w:val="006D0367"/>
    <w:rsid w:val="006D0777"/>
    <w:rsid w:val="006D1058"/>
    <w:rsid w:val="006D1672"/>
    <w:rsid w:val="006E6EAA"/>
    <w:rsid w:val="006E7231"/>
    <w:rsid w:val="006E7356"/>
    <w:rsid w:val="006F18AF"/>
    <w:rsid w:val="006F3051"/>
    <w:rsid w:val="006F6852"/>
    <w:rsid w:val="00700841"/>
    <w:rsid w:val="00702C0E"/>
    <w:rsid w:val="00705D43"/>
    <w:rsid w:val="00707787"/>
    <w:rsid w:val="007163BF"/>
    <w:rsid w:val="00716536"/>
    <w:rsid w:val="00716698"/>
    <w:rsid w:val="0071768F"/>
    <w:rsid w:val="00723AA9"/>
    <w:rsid w:val="00732282"/>
    <w:rsid w:val="00732C44"/>
    <w:rsid w:val="00735C6B"/>
    <w:rsid w:val="007401A2"/>
    <w:rsid w:val="00744D2E"/>
    <w:rsid w:val="00747FB8"/>
    <w:rsid w:val="0075283B"/>
    <w:rsid w:val="00752A33"/>
    <w:rsid w:val="00752E20"/>
    <w:rsid w:val="007558CF"/>
    <w:rsid w:val="0076228C"/>
    <w:rsid w:val="0076476B"/>
    <w:rsid w:val="00764832"/>
    <w:rsid w:val="007649A0"/>
    <w:rsid w:val="0076627F"/>
    <w:rsid w:val="00766624"/>
    <w:rsid w:val="007669F1"/>
    <w:rsid w:val="00771191"/>
    <w:rsid w:val="00771BD7"/>
    <w:rsid w:val="007842C8"/>
    <w:rsid w:val="0078696F"/>
    <w:rsid w:val="0078774B"/>
    <w:rsid w:val="00787C57"/>
    <w:rsid w:val="00790AE2"/>
    <w:rsid w:val="00793247"/>
    <w:rsid w:val="007948B2"/>
    <w:rsid w:val="00795196"/>
    <w:rsid w:val="00795694"/>
    <w:rsid w:val="00796579"/>
    <w:rsid w:val="007A0B1B"/>
    <w:rsid w:val="007B27DF"/>
    <w:rsid w:val="007B38BE"/>
    <w:rsid w:val="007B5839"/>
    <w:rsid w:val="007B6374"/>
    <w:rsid w:val="007C0301"/>
    <w:rsid w:val="007C050D"/>
    <w:rsid w:val="007C0845"/>
    <w:rsid w:val="007C166E"/>
    <w:rsid w:val="007C28F1"/>
    <w:rsid w:val="007C2FE4"/>
    <w:rsid w:val="007C354D"/>
    <w:rsid w:val="007C4360"/>
    <w:rsid w:val="007C6142"/>
    <w:rsid w:val="007C6EA7"/>
    <w:rsid w:val="007C7FA9"/>
    <w:rsid w:val="007D5816"/>
    <w:rsid w:val="007D6D13"/>
    <w:rsid w:val="007E628E"/>
    <w:rsid w:val="007F2DF3"/>
    <w:rsid w:val="007F4828"/>
    <w:rsid w:val="007F5791"/>
    <w:rsid w:val="007F7ED6"/>
    <w:rsid w:val="008003EC"/>
    <w:rsid w:val="0080530A"/>
    <w:rsid w:val="00813C24"/>
    <w:rsid w:val="00814C98"/>
    <w:rsid w:val="00815167"/>
    <w:rsid w:val="00820D19"/>
    <w:rsid w:val="008214A7"/>
    <w:rsid w:val="008216B8"/>
    <w:rsid w:val="008238A0"/>
    <w:rsid w:val="0082563C"/>
    <w:rsid w:val="00825F07"/>
    <w:rsid w:val="00826B94"/>
    <w:rsid w:val="00830BE0"/>
    <w:rsid w:val="00843FA4"/>
    <w:rsid w:val="008446C0"/>
    <w:rsid w:val="008527FA"/>
    <w:rsid w:val="00853668"/>
    <w:rsid w:val="00856B41"/>
    <w:rsid w:val="0085797E"/>
    <w:rsid w:val="00860721"/>
    <w:rsid w:val="00865870"/>
    <w:rsid w:val="00866D81"/>
    <w:rsid w:val="00870963"/>
    <w:rsid w:val="008831CF"/>
    <w:rsid w:val="0088367D"/>
    <w:rsid w:val="00884996"/>
    <w:rsid w:val="008849A8"/>
    <w:rsid w:val="0089001D"/>
    <w:rsid w:val="008920CC"/>
    <w:rsid w:val="00895A0C"/>
    <w:rsid w:val="008A1A4C"/>
    <w:rsid w:val="008A3C1A"/>
    <w:rsid w:val="008B052E"/>
    <w:rsid w:val="008B24BB"/>
    <w:rsid w:val="008B277B"/>
    <w:rsid w:val="008B2845"/>
    <w:rsid w:val="008B77B6"/>
    <w:rsid w:val="008C125E"/>
    <w:rsid w:val="008C3B68"/>
    <w:rsid w:val="008C6F70"/>
    <w:rsid w:val="008D16F1"/>
    <w:rsid w:val="008D6E02"/>
    <w:rsid w:val="008E0A28"/>
    <w:rsid w:val="008E1141"/>
    <w:rsid w:val="008E1EBD"/>
    <w:rsid w:val="008E399D"/>
    <w:rsid w:val="008E64E3"/>
    <w:rsid w:val="008F0243"/>
    <w:rsid w:val="008F1058"/>
    <w:rsid w:val="008F33CC"/>
    <w:rsid w:val="008F5751"/>
    <w:rsid w:val="008F5ED5"/>
    <w:rsid w:val="008F6779"/>
    <w:rsid w:val="008F69F9"/>
    <w:rsid w:val="008F7756"/>
    <w:rsid w:val="00902BB2"/>
    <w:rsid w:val="00905261"/>
    <w:rsid w:val="009076C4"/>
    <w:rsid w:val="00910B08"/>
    <w:rsid w:val="009170C8"/>
    <w:rsid w:val="00917DFF"/>
    <w:rsid w:val="00917F41"/>
    <w:rsid w:val="00925492"/>
    <w:rsid w:val="009267D5"/>
    <w:rsid w:val="00932415"/>
    <w:rsid w:val="00932643"/>
    <w:rsid w:val="0093674E"/>
    <w:rsid w:val="009378FA"/>
    <w:rsid w:val="00940B21"/>
    <w:rsid w:val="00940DC9"/>
    <w:rsid w:val="009427D6"/>
    <w:rsid w:val="00945678"/>
    <w:rsid w:val="00950D52"/>
    <w:rsid w:val="009530CA"/>
    <w:rsid w:val="0096331E"/>
    <w:rsid w:val="00963DF3"/>
    <w:rsid w:val="00967BFE"/>
    <w:rsid w:val="00970BB8"/>
    <w:rsid w:val="00971801"/>
    <w:rsid w:val="00971DB7"/>
    <w:rsid w:val="00973061"/>
    <w:rsid w:val="00973E16"/>
    <w:rsid w:val="00980030"/>
    <w:rsid w:val="009845B6"/>
    <w:rsid w:val="009878EE"/>
    <w:rsid w:val="0099676B"/>
    <w:rsid w:val="009A466D"/>
    <w:rsid w:val="009A65E8"/>
    <w:rsid w:val="009B26AD"/>
    <w:rsid w:val="009B2AF6"/>
    <w:rsid w:val="009B4619"/>
    <w:rsid w:val="009C05E9"/>
    <w:rsid w:val="009C264E"/>
    <w:rsid w:val="009C288F"/>
    <w:rsid w:val="009C7DAB"/>
    <w:rsid w:val="009D5F6F"/>
    <w:rsid w:val="009D608E"/>
    <w:rsid w:val="009E15B9"/>
    <w:rsid w:val="009E61D8"/>
    <w:rsid w:val="009F29C4"/>
    <w:rsid w:val="009F316E"/>
    <w:rsid w:val="009F648F"/>
    <w:rsid w:val="00A036E1"/>
    <w:rsid w:val="00A046B8"/>
    <w:rsid w:val="00A046ED"/>
    <w:rsid w:val="00A0513C"/>
    <w:rsid w:val="00A15E66"/>
    <w:rsid w:val="00A202C7"/>
    <w:rsid w:val="00A23144"/>
    <w:rsid w:val="00A27A05"/>
    <w:rsid w:val="00A30F69"/>
    <w:rsid w:val="00A34CF2"/>
    <w:rsid w:val="00A504A9"/>
    <w:rsid w:val="00A53527"/>
    <w:rsid w:val="00A54FD2"/>
    <w:rsid w:val="00A56958"/>
    <w:rsid w:val="00A6499F"/>
    <w:rsid w:val="00A65B56"/>
    <w:rsid w:val="00A66E30"/>
    <w:rsid w:val="00A70BF3"/>
    <w:rsid w:val="00A71202"/>
    <w:rsid w:val="00A71C2C"/>
    <w:rsid w:val="00A72BA9"/>
    <w:rsid w:val="00A74720"/>
    <w:rsid w:val="00A82E67"/>
    <w:rsid w:val="00A8437E"/>
    <w:rsid w:val="00AA0288"/>
    <w:rsid w:val="00AA2AA8"/>
    <w:rsid w:val="00AA4486"/>
    <w:rsid w:val="00AA6A2D"/>
    <w:rsid w:val="00AA7AF4"/>
    <w:rsid w:val="00AB1688"/>
    <w:rsid w:val="00AB2099"/>
    <w:rsid w:val="00AC1B2C"/>
    <w:rsid w:val="00AC237A"/>
    <w:rsid w:val="00AC3008"/>
    <w:rsid w:val="00AC4AEB"/>
    <w:rsid w:val="00AE38DC"/>
    <w:rsid w:val="00AE4786"/>
    <w:rsid w:val="00AE5A3A"/>
    <w:rsid w:val="00AE5FD1"/>
    <w:rsid w:val="00AF145D"/>
    <w:rsid w:val="00B001B3"/>
    <w:rsid w:val="00B00BB3"/>
    <w:rsid w:val="00B01124"/>
    <w:rsid w:val="00B02F9C"/>
    <w:rsid w:val="00B039CD"/>
    <w:rsid w:val="00B056B9"/>
    <w:rsid w:val="00B05FC0"/>
    <w:rsid w:val="00B0694E"/>
    <w:rsid w:val="00B11ADD"/>
    <w:rsid w:val="00B21DDF"/>
    <w:rsid w:val="00B32870"/>
    <w:rsid w:val="00B346C3"/>
    <w:rsid w:val="00B34E2A"/>
    <w:rsid w:val="00B35A8E"/>
    <w:rsid w:val="00B36868"/>
    <w:rsid w:val="00B37705"/>
    <w:rsid w:val="00B416CD"/>
    <w:rsid w:val="00B450A2"/>
    <w:rsid w:val="00B45500"/>
    <w:rsid w:val="00B467A5"/>
    <w:rsid w:val="00B50DFE"/>
    <w:rsid w:val="00B604C8"/>
    <w:rsid w:val="00B64227"/>
    <w:rsid w:val="00B64743"/>
    <w:rsid w:val="00B65604"/>
    <w:rsid w:val="00B70881"/>
    <w:rsid w:val="00B72B75"/>
    <w:rsid w:val="00B736ED"/>
    <w:rsid w:val="00B73C03"/>
    <w:rsid w:val="00B77190"/>
    <w:rsid w:val="00B77409"/>
    <w:rsid w:val="00B804A2"/>
    <w:rsid w:val="00B808CC"/>
    <w:rsid w:val="00B82682"/>
    <w:rsid w:val="00B83CC8"/>
    <w:rsid w:val="00B93A5A"/>
    <w:rsid w:val="00BA2557"/>
    <w:rsid w:val="00BA3ABB"/>
    <w:rsid w:val="00BA7B52"/>
    <w:rsid w:val="00BB1570"/>
    <w:rsid w:val="00BB271D"/>
    <w:rsid w:val="00BB4790"/>
    <w:rsid w:val="00BB4B34"/>
    <w:rsid w:val="00BB7491"/>
    <w:rsid w:val="00BC4026"/>
    <w:rsid w:val="00BC42BC"/>
    <w:rsid w:val="00BC7416"/>
    <w:rsid w:val="00BD1719"/>
    <w:rsid w:val="00BD2799"/>
    <w:rsid w:val="00BD2920"/>
    <w:rsid w:val="00BD6708"/>
    <w:rsid w:val="00BD6787"/>
    <w:rsid w:val="00BE2E6F"/>
    <w:rsid w:val="00BE57C4"/>
    <w:rsid w:val="00BE63DB"/>
    <w:rsid w:val="00BE691B"/>
    <w:rsid w:val="00BE7249"/>
    <w:rsid w:val="00BF13A6"/>
    <w:rsid w:val="00BF52F1"/>
    <w:rsid w:val="00BF5624"/>
    <w:rsid w:val="00BF7430"/>
    <w:rsid w:val="00BF74E8"/>
    <w:rsid w:val="00C00C04"/>
    <w:rsid w:val="00C1008D"/>
    <w:rsid w:val="00C10B03"/>
    <w:rsid w:val="00C12ABC"/>
    <w:rsid w:val="00C133FD"/>
    <w:rsid w:val="00C158FA"/>
    <w:rsid w:val="00C169F7"/>
    <w:rsid w:val="00C2188D"/>
    <w:rsid w:val="00C21C9C"/>
    <w:rsid w:val="00C26797"/>
    <w:rsid w:val="00C30956"/>
    <w:rsid w:val="00C30CD3"/>
    <w:rsid w:val="00C3379C"/>
    <w:rsid w:val="00C3422D"/>
    <w:rsid w:val="00C445A2"/>
    <w:rsid w:val="00C44D54"/>
    <w:rsid w:val="00C5471F"/>
    <w:rsid w:val="00C646CB"/>
    <w:rsid w:val="00C64A7A"/>
    <w:rsid w:val="00C655C4"/>
    <w:rsid w:val="00C6667A"/>
    <w:rsid w:val="00C73659"/>
    <w:rsid w:val="00C8123B"/>
    <w:rsid w:val="00C81BEF"/>
    <w:rsid w:val="00C93699"/>
    <w:rsid w:val="00C94549"/>
    <w:rsid w:val="00CA2E76"/>
    <w:rsid w:val="00CA53E9"/>
    <w:rsid w:val="00CA7500"/>
    <w:rsid w:val="00CD2F67"/>
    <w:rsid w:val="00CD5F28"/>
    <w:rsid w:val="00CD6E89"/>
    <w:rsid w:val="00CE2F98"/>
    <w:rsid w:val="00CE48E3"/>
    <w:rsid w:val="00CE49E7"/>
    <w:rsid w:val="00CE64F4"/>
    <w:rsid w:val="00CF06AD"/>
    <w:rsid w:val="00CF1B41"/>
    <w:rsid w:val="00CF58B3"/>
    <w:rsid w:val="00D041AF"/>
    <w:rsid w:val="00D04C6D"/>
    <w:rsid w:val="00D06DFD"/>
    <w:rsid w:val="00D06E1C"/>
    <w:rsid w:val="00D11647"/>
    <w:rsid w:val="00D23246"/>
    <w:rsid w:val="00D27090"/>
    <w:rsid w:val="00D2740A"/>
    <w:rsid w:val="00D320D5"/>
    <w:rsid w:val="00D32612"/>
    <w:rsid w:val="00D33273"/>
    <w:rsid w:val="00D37C33"/>
    <w:rsid w:val="00D449A4"/>
    <w:rsid w:val="00D55638"/>
    <w:rsid w:val="00D55DDE"/>
    <w:rsid w:val="00D60CC7"/>
    <w:rsid w:val="00D64B3F"/>
    <w:rsid w:val="00D72F18"/>
    <w:rsid w:val="00D76B73"/>
    <w:rsid w:val="00D8213E"/>
    <w:rsid w:val="00D824E2"/>
    <w:rsid w:val="00D8361D"/>
    <w:rsid w:val="00D85DB8"/>
    <w:rsid w:val="00D903D2"/>
    <w:rsid w:val="00D91C1A"/>
    <w:rsid w:val="00D91E41"/>
    <w:rsid w:val="00D9264C"/>
    <w:rsid w:val="00DA0E0F"/>
    <w:rsid w:val="00DA4398"/>
    <w:rsid w:val="00DA55D2"/>
    <w:rsid w:val="00DA5E9F"/>
    <w:rsid w:val="00DB466A"/>
    <w:rsid w:val="00DB46C8"/>
    <w:rsid w:val="00DB5368"/>
    <w:rsid w:val="00DB635F"/>
    <w:rsid w:val="00DC0D5A"/>
    <w:rsid w:val="00DC26B3"/>
    <w:rsid w:val="00DC572B"/>
    <w:rsid w:val="00DC6EDB"/>
    <w:rsid w:val="00DD5F79"/>
    <w:rsid w:val="00DD63DD"/>
    <w:rsid w:val="00DE0726"/>
    <w:rsid w:val="00DE1E4E"/>
    <w:rsid w:val="00DE3FDC"/>
    <w:rsid w:val="00DE41FB"/>
    <w:rsid w:val="00DE724D"/>
    <w:rsid w:val="00DF2BF6"/>
    <w:rsid w:val="00DF661C"/>
    <w:rsid w:val="00DF721D"/>
    <w:rsid w:val="00DF765A"/>
    <w:rsid w:val="00E00974"/>
    <w:rsid w:val="00E0192E"/>
    <w:rsid w:val="00E0685E"/>
    <w:rsid w:val="00E10225"/>
    <w:rsid w:val="00E1170A"/>
    <w:rsid w:val="00E14CF7"/>
    <w:rsid w:val="00E16C8F"/>
    <w:rsid w:val="00E2300E"/>
    <w:rsid w:val="00E2770C"/>
    <w:rsid w:val="00E27778"/>
    <w:rsid w:val="00E3114B"/>
    <w:rsid w:val="00E35AAC"/>
    <w:rsid w:val="00E3714F"/>
    <w:rsid w:val="00E37A7F"/>
    <w:rsid w:val="00E40184"/>
    <w:rsid w:val="00E417BF"/>
    <w:rsid w:val="00E420A1"/>
    <w:rsid w:val="00E4270B"/>
    <w:rsid w:val="00E45BF9"/>
    <w:rsid w:val="00E61200"/>
    <w:rsid w:val="00E614C8"/>
    <w:rsid w:val="00E64BEF"/>
    <w:rsid w:val="00E66948"/>
    <w:rsid w:val="00E66F05"/>
    <w:rsid w:val="00E73C41"/>
    <w:rsid w:val="00E745DA"/>
    <w:rsid w:val="00E813DB"/>
    <w:rsid w:val="00E82830"/>
    <w:rsid w:val="00E8559C"/>
    <w:rsid w:val="00E9792E"/>
    <w:rsid w:val="00EA1F29"/>
    <w:rsid w:val="00EA2A2D"/>
    <w:rsid w:val="00EB1212"/>
    <w:rsid w:val="00EB7A43"/>
    <w:rsid w:val="00EC1F24"/>
    <w:rsid w:val="00EC28A8"/>
    <w:rsid w:val="00EC7552"/>
    <w:rsid w:val="00ED0FEB"/>
    <w:rsid w:val="00ED1BC9"/>
    <w:rsid w:val="00ED2CFC"/>
    <w:rsid w:val="00ED70BA"/>
    <w:rsid w:val="00EE342A"/>
    <w:rsid w:val="00EE4503"/>
    <w:rsid w:val="00EE6426"/>
    <w:rsid w:val="00EF052A"/>
    <w:rsid w:val="00EF44C5"/>
    <w:rsid w:val="00EF6C07"/>
    <w:rsid w:val="00F05C52"/>
    <w:rsid w:val="00F071E8"/>
    <w:rsid w:val="00F1109F"/>
    <w:rsid w:val="00F22F66"/>
    <w:rsid w:val="00F24E27"/>
    <w:rsid w:val="00F3011B"/>
    <w:rsid w:val="00F3061C"/>
    <w:rsid w:val="00F307D9"/>
    <w:rsid w:val="00F354A3"/>
    <w:rsid w:val="00F35D59"/>
    <w:rsid w:val="00F41710"/>
    <w:rsid w:val="00F41EA4"/>
    <w:rsid w:val="00F449EB"/>
    <w:rsid w:val="00F44BAC"/>
    <w:rsid w:val="00F45D22"/>
    <w:rsid w:val="00F472B0"/>
    <w:rsid w:val="00F50775"/>
    <w:rsid w:val="00F509AC"/>
    <w:rsid w:val="00F51698"/>
    <w:rsid w:val="00F53301"/>
    <w:rsid w:val="00F5351F"/>
    <w:rsid w:val="00F57B3D"/>
    <w:rsid w:val="00F62D0F"/>
    <w:rsid w:val="00F64527"/>
    <w:rsid w:val="00F6620D"/>
    <w:rsid w:val="00F733A6"/>
    <w:rsid w:val="00F82E0B"/>
    <w:rsid w:val="00F835BC"/>
    <w:rsid w:val="00F903C0"/>
    <w:rsid w:val="00F93581"/>
    <w:rsid w:val="00F96887"/>
    <w:rsid w:val="00F970BF"/>
    <w:rsid w:val="00FA32CE"/>
    <w:rsid w:val="00FA64EC"/>
    <w:rsid w:val="00FA782D"/>
    <w:rsid w:val="00FB0F68"/>
    <w:rsid w:val="00FB147E"/>
    <w:rsid w:val="00FB185A"/>
    <w:rsid w:val="00FB419D"/>
    <w:rsid w:val="00FB7647"/>
    <w:rsid w:val="00FC3052"/>
    <w:rsid w:val="00FC68AE"/>
    <w:rsid w:val="00FC6D51"/>
    <w:rsid w:val="00FC6E9D"/>
    <w:rsid w:val="00FC7400"/>
    <w:rsid w:val="00FD19E7"/>
    <w:rsid w:val="00FD46CE"/>
    <w:rsid w:val="00FD50AA"/>
    <w:rsid w:val="00FD676A"/>
    <w:rsid w:val="00FE5324"/>
    <w:rsid w:val="00FE7691"/>
    <w:rsid w:val="00FF18C5"/>
    <w:rsid w:val="00FF54CC"/>
    <w:rsid w:val="00FF6603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20"/>
      <w:jc w:val="center"/>
      <w:outlineLvl w:val="1"/>
    </w:pPr>
    <w:rPr>
      <w:b/>
      <w:color w:val="000000"/>
      <w:sz w:val="24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color w:val="auto"/>
    </w:rPr>
  </w:style>
  <w:style w:type="character" w:customStyle="1" w:styleId="WW8Num7z1">
    <w:name w:val="WW8Num7z1"/>
    <w:rPr>
      <w:sz w:val="20"/>
      <w:szCs w:val="20"/>
    </w:rPr>
  </w:style>
  <w:style w:type="character" w:customStyle="1" w:styleId="WW8Num8z1">
    <w:name w:val="WW8Num8z1"/>
    <w:rPr>
      <w:b w:val="0"/>
      <w:sz w:val="20"/>
      <w:szCs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1">
    <w:name w:val="WW8Num16z1"/>
    <w:rPr>
      <w:rFonts w:ascii="Wingdings" w:eastAsia="Times New Roman" w:hAnsi="Wingdings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  <w:color w:val="auto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6z0">
    <w:name w:val="WW8Num6z0"/>
    <w:rPr>
      <w:color w:val="auto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1">
    <w:name w:val="WW8Num10z1"/>
    <w:rPr>
      <w:sz w:val="20"/>
      <w:szCs w:val="20"/>
    </w:rPr>
  </w:style>
  <w:style w:type="character" w:customStyle="1" w:styleId="WW8Num12z1">
    <w:name w:val="WW8Num12z1"/>
    <w:rPr>
      <w:b w:val="0"/>
      <w:sz w:val="20"/>
      <w:szCs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4z1">
    <w:name w:val="WW8Num24z1"/>
    <w:rPr>
      <w:strike w:val="0"/>
      <w:dstrike w:val="0"/>
      <w:color w:val="auto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8z1">
    <w:name w:val="WW8Num28z1"/>
    <w:rPr>
      <w:color w:val="auto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b w:val="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Wingdings" w:hAnsi="Wingdings" w:cs="Wingdings"/>
      <w:sz w:val="20"/>
    </w:rPr>
  </w:style>
  <w:style w:type="character" w:customStyle="1" w:styleId="4">
    <w:name w:val="Основной шрифт абзаца4"/>
  </w:style>
  <w:style w:type="character" w:customStyle="1" w:styleId="WW8Num11z1">
    <w:name w:val="WW8Num11z1"/>
    <w:rPr>
      <w:sz w:val="20"/>
      <w:szCs w:val="20"/>
    </w:rPr>
  </w:style>
  <w:style w:type="character" w:customStyle="1" w:styleId="WW8Num13z1">
    <w:name w:val="WW8Num13z1"/>
    <w:rPr>
      <w:b w:val="0"/>
      <w:sz w:val="20"/>
      <w:szCs w:val="20"/>
    </w:rPr>
  </w:style>
  <w:style w:type="character" w:customStyle="1" w:styleId="WW8Num25z1">
    <w:name w:val="WW8Num25z1"/>
    <w:rPr>
      <w:strike w:val="0"/>
      <w:dstrike w:val="0"/>
      <w:color w:val="auto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b w:val="0"/>
    </w:rPr>
  </w:style>
  <w:style w:type="character" w:customStyle="1" w:styleId="WW8Num39z0">
    <w:name w:val="WW8Num39z0"/>
    <w:rPr>
      <w:rFonts w:ascii="Wingdings" w:hAnsi="Wingdings" w:cs="Wingdings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7z0">
    <w:name w:val="WW8Num47z0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WW8Num33z1">
    <w:name w:val="WW8Num33z1"/>
    <w:rPr>
      <w:b w:val="0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Гипертекстовая ссылка"/>
    <w:rPr>
      <w:color w:val="008000"/>
      <w:sz w:val="20"/>
      <w:szCs w:val="2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</w:style>
  <w:style w:type="character" w:customStyle="1" w:styleId="a9">
    <w:name w:val="Тема примечания Знак"/>
    <w:rPr>
      <w:b/>
      <w:bCs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4"/>
    </w:rPr>
  </w:style>
  <w:style w:type="paragraph" w:styleId="ad">
    <w:name w:val="List"/>
    <w:basedOn w:val="a"/>
    <w:pPr>
      <w:widowControl w:val="0"/>
      <w:ind w:left="283" w:hanging="283"/>
    </w:pPr>
    <w:rPr>
      <w:sz w:val="24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pPr>
      <w:ind w:left="720" w:hanging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pPr>
      <w:ind w:left="720"/>
      <w:jc w:val="both"/>
    </w:pPr>
    <w:rPr>
      <w:color w:val="000000"/>
      <w:sz w:val="24"/>
    </w:rPr>
  </w:style>
  <w:style w:type="paragraph" w:customStyle="1" w:styleId="211">
    <w:name w:val="Основной текст 21"/>
    <w:basedOn w:val="a"/>
    <w:pPr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uiPriority w:val="39"/>
    <w:pPr>
      <w:tabs>
        <w:tab w:val="left" w:pos="0"/>
        <w:tab w:val="right" w:leader="dot" w:pos="9918"/>
      </w:tabs>
      <w:spacing w:before="240" w:after="120"/>
      <w:jc w:val="both"/>
    </w:pPr>
    <w:rPr>
      <w:bCs/>
    </w:rPr>
  </w:style>
  <w:style w:type="paragraph" w:styleId="23">
    <w:name w:val="toc 2"/>
    <w:basedOn w:val="a"/>
    <w:next w:val="a"/>
    <w:pPr>
      <w:spacing w:before="120"/>
      <w:ind w:left="200"/>
    </w:pPr>
    <w:rPr>
      <w:i/>
      <w:iCs/>
    </w:rPr>
  </w:style>
  <w:style w:type="paragraph" w:styleId="33">
    <w:name w:val="toc 3"/>
    <w:basedOn w:val="a"/>
    <w:next w:val="a"/>
    <w:uiPriority w:val="39"/>
    <w:pPr>
      <w:tabs>
        <w:tab w:val="left" w:pos="855"/>
        <w:tab w:val="right" w:leader="dot" w:pos="9911"/>
      </w:tabs>
      <w:ind w:left="399" w:firstLine="1"/>
    </w:pPr>
  </w:style>
  <w:style w:type="paragraph" w:styleId="42">
    <w:name w:val="toc 4"/>
    <w:basedOn w:val="a"/>
    <w:next w:val="a"/>
    <w:pPr>
      <w:ind w:left="600"/>
    </w:pPr>
  </w:style>
  <w:style w:type="paragraph" w:styleId="50">
    <w:name w:val="toc 5"/>
    <w:basedOn w:val="a"/>
    <w:next w:val="a"/>
    <w:pPr>
      <w:ind w:left="800"/>
    </w:pPr>
  </w:style>
  <w:style w:type="paragraph" w:styleId="6">
    <w:name w:val="toc 6"/>
    <w:basedOn w:val="a"/>
    <w:next w:val="a"/>
    <w:pPr>
      <w:ind w:left="1000"/>
    </w:pPr>
  </w:style>
  <w:style w:type="paragraph" w:styleId="7">
    <w:name w:val="toc 7"/>
    <w:basedOn w:val="a"/>
    <w:next w:val="a"/>
    <w:pPr>
      <w:ind w:left="1200"/>
    </w:pPr>
  </w:style>
  <w:style w:type="paragraph" w:styleId="8">
    <w:name w:val="toc 8"/>
    <w:basedOn w:val="a"/>
    <w:next w:val="a"/>
    <w:pPr>
      <w:ind w:left="1400"/>
    </w:pPr>
  </w:style>
  <w:style w:type="paragraph" w:styleId="9">
    <w:name w:val="toc 9"/>
    <w:basedOn w:val="a"/>
    <w:next w:val="a"/>
    <w:pPr>
      <w:ind w:left="1600"/>
    </w:pPr>
  </w:style>
  <w:style w:type="paragraph" w:customStyle="1" w:styleId="15">
    <w:name w:val="Таблица ссылок1"/>
    <w:basedOn w:val="a"/>
    <w:next w:val="a"/>
    <w:pPr>
      <w:ind w:left="200" w:hanging="200"/>
    </w:pPr>
  </w:style>
  <w:style w:type="paragraph" w:customStyle="1" w:styleId="16">
    <w:name w:val="Текст1"/>
    <w:basedOn w:val="a"/>
    <w:pPr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110">
    <w:name w:val="Текст11"/>
    <w:basedOn w:val="a"/>
    <w:rPr>
      <w:rFonts w:ascii="Courier New" w:hAnsi="Courier New" w:cs="Courier New"/>
    </w:rPr>
  </w:style>
  <w:style w:type="paragraph" w:styleId="17">
    <w:name w:val="index 1"/>
    <w:basedOn w:val="a"/>
    <w:next w:val="a"/>
    <w:pPr>
      <w:ind w:left="200" w:hanging="200"/>
    </w:pPr>
  </w:style>
  <w:style w:type="paragraph" w:customStyle="1" w:styleId="18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bCs/>
      <w:szCs w:val="24"/>
    </w:rPr>
  </w:style>
  <w:style w:type="paragraph" w:customStyle="1" w:styleId="311">
    <w:name w:val="Основной текст 31"/>
    <w:basedOn w:val="a"/>
    <w:pPr>
      <w:tabs>
        <w:tab w:val="left" w:pos="0"/>
      </w:tabs>
      <w:autoSpaceDE w:val="0"/>
      <w:jc w:val="both"/>
    </w:pPr>
  </w:style>
  <w:style w:type="paragraph" w:customStyle="1" w:styleId="af4">
    <w:name w:val="Стиль"/>
    <w:pPr>
      <w:widowControl w:val="0"/>
      <w:suppressAutoHyphens/>
      <w:ind w:firstLine="720"/>
      <w:jc w:val="both"/>
    </w:pPr>
    <w:rPr>
      <w:rFonts w:ascii="Arial" w:hAnsi="Arial" w:cs="Arial"/>
      <w:lang w:eastAsia="ar-SA"/>
    </w:rPr>
  </w:style>
  <w:style w:type="paragraph" w:customStyle="1" w:styleId="af5">
    <w:name w:val="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корпус"/>
    <w:basedOn w:val="a"/>
    <w:pPr>
      <w:ind w:firstLine="709"/>
      <w:jc w:val="both"/>
    </w:pPr>
    <w:rPr>
      <w:sz w:val="24"/>
      <w:szCs w:val="24"/>
    </w:rPr>
  </w:style>
  <w:style w:type="paragraph" w:customStyle="1" w:styleId="19">
    <w:name w:val="Знак Знак Знак Знак Знак Знак Знак Знак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fa">
    <w:name w:val="Содержимое врезки"/>
    <w:basedOn w:val="ac"/>
  </w:style>
  <w:style w:type="paragraph" w:customStyle="1" w:styleId="1a">
    <w:name w:val="Текст примечания1"/>
    <w:basedOn w:val="a"/>
  </w:style>
  <w:style w:type="paragraph" w:styleId="afb">
    <w:name w:val="annotation subject"/>
    <w:basedOn w:val="1a"/>
    <w:next w:val="1a"/>
    <w:rPr>
      <w:b/>
      <w:bCs/>
    </w:rPr>
  </w:style>
  <w:style w:type="paragraph" w:customStyle="1" w:styleId="34">
    <w:name w:val="Знак Знак3 Знак"/>
    <w:basedOn w:val="a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b">
    <w:name w:val="Знак Знак Знак Знак Знак Знак Знак Знак Знак Знак Знак1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List Paragraph"/>
    <w:basedOn w:val="a"/>
    <w:uiPriority w:val="34"/>
    <w:qFormat/>
    <w:rsid w:val="00F3061C"/>
    <w:pPr>
      <w:ind w:left="720"/>
      <w:contextualSpacing/>
    </w:pPr>
  </w:style>
  <w:style w:type="paragraph" w:styleId="afd">
    <w:name w:val="TOC Heading"/>
    <w:basedOn w:val="1"/>
    <w:next w:val="a"/>
    <w:uiPriority w:val="39"/>
    <w:unhideWhenUsed/>
    <w:qFormat/>
    <w:rsid w:val="00EE342A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65B56"/>
    <w:rPr>
      <w:lang w:eastAsia="ar-SA"/>
    </w:rPr>
  </w:style>
  <w:style w:type="paragraph" w:styleId="afe">
    <w:name w:val="Normal (Web)"/>
    <w:basedOn w:val="a"/>
    <w:uiPriority w:val="99"/>
    <w:rsid w:val="007C2FE4"/>
    <w:pPr>
      <w:suppressAutoHyphens w:val="0"/>
      <w:spacing w:before="100" w:after="100"/>
      <w:jc w:val="both"/>
    </w:pPr>
    <w:rPr>
      <w:rFonts w:ascii="Arial Unicode MS" w:eastAsia="Calibri" w:hAnsi="Arial Unicode MS" w:cs="Arial Unicode MS"/>
      <w:lang w:eastAsia="ru-RU"/>
    </w:rPr>
  </w:style>
  <w:style w:type="paragraph" w:customStyle="1" w:styleId="aff">
    <w:name w:val="Обычный список"/>
    <w:basedOn w:val="a"/>
    <w:link w:val="aff0"/>
    <w:uiPriority w:val="99"/>
    <w:rsid w:val="00EA2A2D"/>
    <w:pPr>
      <w:suppressAutoHyphens w:val="0"/>
    </w:pPr>
    <w:rPr>
      <w:rFonts w:eastAsia="Calibri"/>
      <w:lang w:val="x-none" w:eastAsia="x-none"/>
    </w:rPr>
  </w:style>
  <w:style w:type="character" w:customStyle="1" w:styleId="aff0">
    <w:name w:val="Обычный список Знак"/>
    <w:link w:val="aff"/>
    <w:uiPriority w:val="99"/>
    <w:locked/>
    <w:rsid w:val="00EA2A2D"/>
    <w:rPr>
      <w:rFonts w:eastAsia="Calibri"/>
      <w:lang w:val="x-none" w:eastAsia="x-none"/>
    </w:rPr>
  </w:style>
  <w:style w:type="table" w:styleId="aff1">
    <w:name w:val="Table Grid"/>
    <w:basedOn w:val="a1"/>
    <w:uiPriority w:val="39"/>
    <w:rsid w:val="007B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B808CC"/>
    <w:rPr>
      <w:lang w:eastAsia="ar-SA"/>
    </w:rPr>
  </w:style>
  <w:style w:type="character" w:styleId="aff2">
    <w:name w:val="Placeholder Text"/>
    <w:basedOn w:val="a0"/>
    <w:uiPriority w:val="99"/>
    <w:semiHidden/>
    <w:rsid w:val="00B808CC"/>
    <w:rPr>
      <w:color w:val="808080"/>
    </w:rPr>
  </w:style>
  <w:style w:type="paragraph" w:customStyle="1" w:styleId="ConsPlusNormal">
    <w:name w:val="ConsPlusNormal"/>
    <w:rsid w:val="007B27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3">
    <w:name w:val="footnote text"/>
    <w:basedOn w:val="a"/>
    <w:link w:val="aff4"/>
    <w:uiPriority w:val="99"/>
    <w:semiHidden/>
    <w:unhideWhenUsed/>
    <w:rsid w:val="0075283B"/>
  </w:style>
  <w:style w:type="character" w:customStyle="1" w:styleId="aff4">
    <w:name w:val="Текст сноски Знак"/>
    <w:basedOn w:val="a0"/>
    <w:link w:val="aff3"/>
    <w:uiPriority w:val="99"/>
    <w:semiHidden/>
    <w:rsid w:val="0075283B"/>
    <w:rPr>
      <w:lang w:eastAsia="ar-SA"/>
    </w:rPr>
  </w:style>
  <w:style w:type="character" w:styleId="aff5">
    <w:name w:val="footnote reference"/>
    <w:basedOn w:val="a0"/>
    <w:uiPriority w:val="99"/>
    <w:semiHidden/>
    <w:unhideWhenUsed/>
    <w:rsid w:val="0075283B"/>
    <w:rPr>
      <w:vertAlign w:val="superscript"/>
    </w:rPr>
  </w:style>
  <w:style w:type="character" w:styleId="aff6">
    <w:name w:val="Subtle Emphasis"/>
    <w:basedOn w:val="a0"/>
    <w:uiPriority w:val="19"/>
    <w:qFormat/>
    <w:rsid w:val="00D06D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ostfinan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financ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financ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t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84A6-E691-4167-8800-96281A0F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19396</CharactersWithSpaces>
  <SharedDoc>false</SharedDoc>
  <HLinks>
    <vt:vector size="36" baseType="variant"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http://www.visaonline.com/</vt:lpwstr>
      </vt:variant>
      <vt:variant>
        <vt:lpwstr/>
      </vt:variant>
      <vt:variant>
        <vt:i4>2949172</vt:i4>
      </vt:variant>
      <vt:variant>
        <vt:i4>15</vt:i4>
      </vt:variant>
      <vt:variant>
        <vt:i4>0</vt:i4>
      </vt:variant>
      <vt:variant>
        <vt:i4>5</vt:i4>
      </vt:variant>
      <vt:variant>
        <vt:lpwstr>http://www.visaonline.com/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http://www.visaonline.com/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http://www.visaonline.com/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http://www.visaonline.com/</vt:lpwstr>
      </vt:variant>
      <vt:variant>
        <vt:lpwstr/>
      </vt:variant>
      <vt:variant>
        <vt:i4>852085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_Персонализация_банковских_карт.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2022-05-17T08:36:00Z</dcterms:created>
  <dcterms:modified xsi:type="dcterms:W3CDTF">2022-05-18T11:42:00Z</dcterms:modified>
</cp:coreProperties>
</file>