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4A" w:rsidRPr="00295AF0" w:rsidRDefault="00D6134A" w:rsidP="00D6134A">
      <w:pPr>
        <w:ind w:right="-1"/>
        <w:jc w:val="right"/>
        <w:rPr>
          <w:rFonts w:ascii="Times New Roman" w:hAnsi="Times New Roman"/>
          <w:sz w:val="18"/>
          <w:szCs w:val="18"/>
        </w:rPr>
      </w:pPr>
      <w:r w:rsidRPr="00295AF0">
        <w:rPr>
          <w:rFonts w:ascii="Times New Roman" w:hAnsi="Times New Roman"/>
          <w:sz w:val="18"/>
          <w:szCs w:val="18"/>
        </w:rPr>
        <w:t>Приложение № 12</w:t>
      </w:r>
    </w:p>
    <w:p w:rsidR="00D6134A" w:rsidRPr="00295AF0" w:rsidRDefault="00D6134A" w:rsidP="00D6134A">
      <w:pPr>
        <w:ind w:right="-1"/>
        <w:jc w:val="right"/>
        <w:rPr>
          <w:rFonts w:ascii="Times New Roman" w:hAnsi="Times New Roman"/>
          <w:sz w:val="18"/>
          <w:szCs w:val="18"/>
        </w:rPr>
      </w:pPr>
      <w:r w:rsidRPr="00295AF0">
        <w:rPr>
          <w:rFonts w:ascii="Times New Roman" w:hAnsi="Times New Roman"/>
          <w:sz w:val="18"/>
          <w:szCs w:val="18"/>
        </w:rPr>
        <w:t>к Правилам дистанционного банковского обслуживания</w:t>
      </w:r>
    </w:p>
    <w:p w:rsidR="00D6134A" w:rsidRPr="00295AF0" w:rsidRDefault="00D6134A" w:rsidP="00D6134A">
      <w:pPr>
        <w:ind w:right="-1"/>
        <w:jc w:val="right"/>
        <w:rPr>
          <w:rFonts w:ascii="Times New Roman" w:hAnsi="Times New Roman"/>
          <w:sz w:val="18"/>
          <w:szCs w:val="18"/>
        </w:rPr>
      </w:pPr>
      <w:r w:rsidRPr="00295AF0">
        <w:rPr>
          <w:rFonts w:ascii="Times New Roman" w:hAnsi="Times New Roman"/>
          <w:sz w:val="18"/>
          <w:szCs w:val="18"/>
        </w:rPr>
        <w:t>физического лица в Системе «iBank2»</w:t>
      </w:r>
    </w:p>
    <w:p w:rsidR="00D6134A" w:rsidRPr="00295AF0" w:rsidRDefault="00D6134A" w:rsidP="00D6134A">
      <w:pPr>
        <w:ind w:right="-1"/>
        <w:jc w:val="right"/>
        <w:rPr>
          <w:rFonts w:ascii="Times New Roman" w:hAnsi="Times New Roman"/>
          <w:sz w:val="18"/>
          <w:szCs w:val="18"/>
        </w:rPr>
      </w:pPr>
    </w:p>
    <w:p w:rsidR="00D6134A" w:rsidRPr="00295AF0" w:rsidRDefault="00D6134A" w:rsidP="00D6134A">
      <w:pPr>
        <w:ind w:right="-1"/>
        <w:jc w:val="right"/>
        <w:rPr>
          <w:rFonts w:ascii="Times New Roman" w:hAnsi="Times New Roman"/>
          <w:sz w:val="18"/>
          <w:szCs w:val="18"/>
        </w:rPr>
      </w:pPr>
    </w:p>
    <w:p w:rsidR="00D6134A" w:rsidRPr="00295AF0" w:rsidRDefault="00D6134A" w:rsidP="00D6134A">
      <w:pPr>
        <w:ind w:right="-1"/>
        <w:jc w:val="right"/>
        <w:rPr>
          <w:rFonts w:ascii="Times New Roman" w:hAnsi="Times New Roman"/>
          <w:sz w:val="18"/>
          <w:szCs w:val="18"/>
        </w:rPr>
      </w:pPr>
    </w:p>
    <w:p w:rsidR="00D6134A" w:rsidRPr="00295AF0" w:rsidRDefault="00D6134A" w:rsidP="00D6134A">
      <w:pPr>
        <w:ind w:right="-1"/>
        <w:jc w:val="right"/>
        <w:rPr>
          <w:rFonts w:ascii="Times New Roman" w:hAnsi="Times New Roman"/>
          <w:sz w:val="18"/>
          <w:szCs w:val="18"/>
        </w:rPr>
      </w:pPr>
    </w:p>
    <w:p w:rsidR="00D6134A" w:rsidRPr="00295AF0" w:rsidRDefault="00D6134A" w:rsidP="00D6134A">
      <w:pPr>
        <w:ind w:right="-1"/>
        <w:jc w:val="right"/>
        <w:rPr>
          <w:rFonts w:ascii="Times New Roman" w:hAnsi="Times New Roman"/>
          <w:sz w:val="18"/>
          <w:szCs w:val="18"/>
        </w:rPr>
      </w:pPr>
    </w:p>
    <w:p w:rsidR="00D6134A" w:rsidRPr="00295AF0" w:rsidRDefault="00D6134A" w:rsidP="00D6134A">
      <w:pPr>
        <w:ind w:right="-1"/>
        <w:jc w:val="right"/>
        <w:rPr>
          <w:rFonts w:ascii="Times New Roman" w:hAnsi="Times New Roman"/>
          <w:sz w:val="18"/>
          <w:szCs w:val="18"/>
        </w:rPr>
      </w:pPr>
    </w:p>
    <w:p w:rsidR="00D6134A" w:rsidRPr="00295AF0" w:rsidRDefault="00D6134A" w:rsidP="00D613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51264902"/>
      <w:r w:rsidRPr="00295AF0">
        <w:rPr>
          <w:rFonts w:ascii="Times New Roman" w:hAnsi="Times New Roman" w:cs="Times New Roman"/>
          <w:sz w:val="24"/>
          <w:szCs w:val="24"/>
        </w:rPr>
        <w:t>ЛИМИТЫ</w:t>
      </w:r>
      <w:bookmarkEnd w:id="0"/>
    </w:p>
    <w:p w:rsidR="00D6134A" w:rsidRPr="00295AF0" w:rsidRDefault="00D6134A" w:rsidP="00D613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51264903"/>
      <w:r w:rsidRPr="00295AF0">
        <w:rPr>
          <w:rFonts w:ascii="Times New Roman" w:hAnsi="Times New Roman" w:cs="Times New Roman"/>
          <w:sz w:val="24"/>
          <w:szCs w:val="24"/>
        </w:rPr>
        <w:t>на осуществление банковских операций физическими лицами</w:t>
      </w:r>
      <w:bookmarkEnd w:id="1"/>
    </w:p>
    <w:p w:rsidR="00D6134A" w:rsidRPr="00295AF0" w:rsidRDefault="00D6134A" w:rsidP="00D613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451264904"/>
      <w:r w:rsidRPr="00295AF0">
        <w:rPr>
          <w:rFonts w:ascii="Times New Roman" w:hAnsi="Times New Roman" w:cs="Times New Roman"/>
          <w:sz w:val="24"/>
          <w:szCs w:val="24"/>
        </w:rPr>
        <w:t>в Системе «</w:t>
      </w:r>
      <w:proofErr w:type="spellStart"/>
      <w:r w:rsidRPr="00295AF0">
        <w:rPr>
          <w:rFonts w:ascii="Times New Roman" w:hAnsi="Times New Roman" w:cs="Times New Roman"/>
          <w:sz w:val="24"/>
          <w:szCs w:val="24"/>
          <w:lang w:val="en-US"/>
        </w:rPr>
        <w:t>iBank</w:t>
      </w:r>
      <w:proofErr w:type="spellEnd"/>
      <w:r w:rsidRPr="00295AF0">
        <w:rPr>
          <w:rFonts w:ascii="Times New Roman" w:hAnsi="Times New Roman" w:cs="Times New Roman"/>
          <w:sz w:val="24"/>
          <w:szCs w:val="24"/>
        </w:rPr>
        <w:t>2»</w:t>
      </w:r>
      <w:bookmarkEnd w:id="2"/>
    </w:p>
    <w:p w:rsidR="00D6134A" w:rsidRPr="00295AF0" w:rsidRDefault="00D6134A" w:rsidP="00D6134A">
      <w:pPr>
        <w:ind w:right="-1"/>
        <w:jc w:val="right"/>
        <w:rPr>
          <w:rFonts w:ascii="Times New Roman" w:hAnsi="Times New Roman"/>
          <w:sz w:val="18"/>
          <w:szCs w:val="22"/>
        </w:rPr>
      </w:pPr>
    </w:p>
    <w:p w:rsidR="00D6134A" w:rsidRPr="00295AF0" w:rsidRDefault="00D6134A" w:rsidP="00D6134A">
      <w:pPr>
        <w:ind w:right="-1"/>
        <w:jc w:val="right"/>
        <w:rPr>
          <w:rFonts w:ascii="Times New Roman" w:hAnsi="Times New Roman"/>
          <w:sz w:val="18"/>
          <w:szCs w:val="22"/>
        </w:rPr>
      </w:pPr>
    </w:p>
    <w:p w:rsidR="00D6134A" w:rsidRPr="00295AF0" w:rsidRDefault="00D6134A" w:rsidP="00D6134A">
      <w:pPr>
        <w:ind w:right="-1"/>
        <w:jc w:val="center"/>
        <w:rPr>
          <w:rFonts w:ascii="Times New Roman" w:hAnsi="Times New Roman"/>
          <w:sz w:val="18"/>
          <w:szCs w:val="22"/>
        </w:rPr>
      </w:pPr>
      <w:r w:rsidRPr="00295AF0">
        <w:rPr>
          <w:rFonts w:ascii="Times New Roman" w:hAnsi="Times New Roman"/>
          <w:sz w:val="18"/>
          <w:szCs w:val="22"/>
        </w:rPr>
        <w:tab/>
      </w:r>
      <w:r w:rsidRPr="00295AF0">
        <w:rPr>
          <w:rFonts w:ascii="Times New Roman" w:hAnsi="Times New Roman"/>
          <w:sz w:val="18"/>
          <w:szCs w:val="22"/>
        </w:rPr>
        <w:tab/>
      </w:r>
      <w:r w:rsidRPr="00295AF0">
        <w:rPr>
          <w:rFonts w:ascii="Times New Roman" w:hAnsi="Times New Roman"/>
          <w:sz w:val="18"/>
          <w:szCs w:val="22"/>
        </w:rPr>
        <w:tab/>
      </w:r>
      <w:r w:rsidRPr="00295AF0">
        <w:rPr>
          <w:rFonts w:ascii="Times New Roman" w:hAnsi="Times New Roman"/>
          <w:sz w:val="18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360"/>
        <w:gridCol w:w="1763"/>
        <w:gridCol w:w="2540"/>
      </w:tblGrid>
      <w:tr w:rsidR="00D6134A" w:rsidRPr="00295AF0" w:rsidTr="005D77C9">
        <w:trPr>
          <w:trHeight w:val="330"/>
        </w:trPr>
        <w:tc>
          <w:tcPr>
            <w:tcW w:w="695" w:type="dxa"/>
            <w:vMerge w:val="restart"/>
            <w:shd w:val="clear" w:color="auto" w:fill="auto"/>
            <w:hideMark/>
          </w:tcPr>
          <w:p w:rsidR="00D6134A" w:rsidRPr="00295AF0" w:rsidRDefault="00D6134A" w:rsidP="005D77C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4"/>
              </w:rPr>
            </w:pPr>
            <w:r w:rsidRPr="00295AF0">
              <w:rPr>
                <w:rFonts w:ascii="Times New Roman" w:eastAsia="Calibri" w:hAnsi="Times New Roman"/>
                <w:sz w:val="24"/>
              </w:rPr>
              <w:t>№ п/п</w:t>
            </w:r>
          </w:p>
        </w:tc>
        <w:tc>
          <w:tcPr>
            <w:tcW w:w="4470" w:type="dxa"/>
            <w:vMerge w:val="restart"/>
            <w:shd w:val="clear" w:color="auto" w:fill="auto"/>
            <w:hideMark/>
          </w:tcPr>
          <w:p w:rsidR="00D6134A" w:rsidRPr="00295AF0" w:rsidRDefault="00D6134A" w:rsidP="005D77C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4"/>
              </w:rPr>
            </w:pPr>
            <w:r w:rsidRPr="00295AF0">
              <w:rPr>
                <w:rFonts w:ascii="Times New Roman" w:eastAsia="Calibri" w:hAnsi="Times New Roman"/>
                <w:sz w:val="24"/>
              </w:rPr>
              <w:t>Наименование операции</w:t>
            </w:r>
          </w:p>
        </w:tc>
        <w:tc>
          <w:tcPr>
            <w:tcW w:w="4406" w:type="dxa"/>
            <w:gridSpan w:val="2"/>
            <w:shd w:val="clear" w:color="auto" w:fill="auto"/>
            <w:hideMark/>
          </w:tcPr>
          <w:p w:rsidR="00D6134A" w:rsidRPr="00295AF0" w:rsidRDefault="00D6134A" w:rsidP="005D77C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4"/>
              </w:rPr>
            </w:pPr>
            <w:r w:rsidRPr="00295AF0">
              <w:rPr>
                <w:rFonts w:ascii="Times New Roman" w:eastAsia="Calibri" w:hAnsi="Times New Roman"/>
                <w:sz w:val="24"/>
              </w:rPr>
              <w:t>Размер Лимита</w:t>
            </w:r>
          </w:p>
        </w:tc>
      </w:tr>
      <w:tr w:rsidR="00D6134A" w:rsidRPr="00295AF0" w:rsidTr="005D77C9">
        <w:trPr>
          <w:trHeight w:val="330"/>
        </w:trPr>
        <w:tc>
          <w:tcPr>
            <w:tcW w:w="695" w:type="dxa"/>
            <w:vMerge/>
            <w:shd w:val="clear" w:color="auto" w:fill="auto"/>
            <w:hideMark/>
          </w:tcPr>
          <w:p w:rsidR="00D6134A" w:rsidRPr="00295AF0" w:rsidRDefault="00D6134A" w:rsidP="005D77C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470" w:type="dxa"/>
            <w:vMerge/>
            <w:shd w:val="clear" w:color="auto" w:fill="auto"/>
            <w:hideMark/>
          </w:tcPr>
          <w:p w:rsidR="00D6134A" w:rsidRPr="00295AF0" w:rsidRDefault="00D6134A" w:rsidP="005D77C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804" w:type="dxa"/>
            <w:shd w:val="clear" w:color="auto" w:fill="auto"/>
            <w:hideMark/>
          </w:tcPr>
          <w:p w:rsidR="00D6134A" w:rsidRPr="00295AF0" w:rsidRDefault="00D6134A" w:rsidP="005D77C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4"/>
              </w:rPr>
            </w:pPr>
            <w:r w:rsidRPr="00295AF0">
              <w:rPr>
                <w:rFonts w:ascii="Times New Roman" w:eastAsia="Calibri" w:hAnsi="Times New Roman"/>
                <w:sz w:val="24"/>
              </w:rPr>
              <w:t>В день, руб.</w:t>
            </w:r>
          </w:p>
        </w:tc>
        <w:tc>
          <w:tcPr>
            <w:tcW w:w="2602" w:type="dxa"/>
            <w:shd w:val="clear" w:color="auto" w:fill="auto"/>
            <w:hideMark/>
          </w:tcPr>
          <w:p w:rsidR="00D6134A" w:rsidRPr="00295AF0" w:rsidRDefault="00D6134A" w:rsidP="005D77C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4"/>
              </w:rPr>
            </w:pPr>
            <w:r w:rsidRPr="00295AF0">
              <w:rPr>
                <w:rFonts w:ascii="Times New Roman" w:eastAsia="Calibri" w:hAnsi="Times New Roman"/>
                <w:sz w:val="24"/>
              </w:rPr>
              <w:t>Одной операции, руб.</w:t>
            </w:r>
          </w:p>
        </w:tc>
      </w:tr>
      <w:tr w:rsidR="00D6134A" w:rsidRPr="00D6134A" w:rsidTr="005D77C9">
        <w:trPr>
          <w:trHeight w:val="960"/>
        </w:trPr>
        <w:tc>
          <w:tcPr>
            <w:tcW w:w="695" w:type="dxa"/>
            <w:shd w:val="clear" w:color="auto" w:fill="auto"/>
            <w:hideMark/>
          </w:tcPr>
          <w:p w:rsidR="00D6134A" w:rsidRPr="00295AF0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295AF0">
              <w:rPr>
                <w:rFonts w:ascii="Times New Roman" w:eastAsia="Calibri" w:hAnsi="Times New Roman"/>
                <w:sz w:val="24"/>
              </w:rPr>
              <w:t>1.1.</w:t>
            </w:r>
          </w:p>
        </w:tc>
        <w:tc>
          <w:tcPr>
            <w:tcW w:w="4470" w:type="dxa"/>
            <w:shd w:val="clear" w:color="auto" w:fill="auto"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D6134A">
              <w:rPr>
                <w:rFonts w:ascii="Times New Roman" w:eastAsia="Calibri" w:hAnsi="Times New Roman"/>
                <w:sz w:val="24"/>
              </w:rPr>
              <w:t>Внутрибанковские переводы между своими счетами в валюте Российской Федерации. Переводы платежей в бюджет и во внебюджетные фонды Российской Федерации</w:t>
            </w:r>
          </w:p>
        </w:tc>
        <w:tc>
          <w:tcPr>
            <w:tcW w:w="1804" w:type="dxa"/>
            <w:vMerge w:val="restart"/>
            <w:shd w:val="clear" w:color="auto" w:fill="auto"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D6134A">
              <w:rPr>
                <w:rFonts w:ascii="Times New Roman" w:eastAsia="Calibri" w:hAnsi="Times New Roman"/>
                <w:sz w:val="24"/>
              </w:rPr>
              <w:t>600 000</w:t>
            </w:r>
          </w:p>
        </w:tc>
        <w:tc>
          <w:tcPr>
            <w:tcW w:w="2602" w:type="dxa"/>
            <w:shd w:val="clear" w:color="auto" w:fill="auto"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D6134A">
              <w:rPr>
                <w:rFonts w:ascii="Times New Roman" w:eastAsia="Calibri" w:hAnsi="Times New Roman"/>
                <w:sz w:val="24"/>
              </w:rPr>
              <w:t>Без ограничений</w:t>
            </w:r>
          </w:p>
        </w:tc>
      </w:tr>
      <w:tr w:rsidR="00D6134A" w:rsidRPr="00D6134A" w:rsidTr="005D77C9">
        <w:trPr>
          <w:trHeight w:val="1155"/>
        </w:trPr>
        <w:tc>
          <w:tcPr>
            <w:tcW w:w="695" w:type="dxa"/>
            <w:shd w:val="clear" w:color="auto" w:fill="auto"/>
            <w:hideMark/>
          </w:tcPr>
          <w:p w:rsidR="00D6134A" w:rsidRPr="00295AF0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295AF0">
              <w:rPr>
                <w:rFonts w:ascii="Times New Roman" w:eastAsia="Calibri" w:hAnsi="Times New Roman"/>
                <w:sz w:val="24"/>
              </w:rPr>
              <w:t>1.2.</w:t>
            </w:r>
          </w:p>
        </w:tc>
        <w:bookmarkStart w:id="3" w:name="RANGE!E10"/>
        <w:tc>
          <w:tcPr>
            <w:tcW w:w="4470" w:type="dxa"/>
            <w:shd w:val="clear" w:color="auto" w:fill="auto"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D6134A">
              <w:rPr>
                <w:rFonts w:ascii="Times New Roman" w:eastAsia="Calibri" w:hAnsi="Times New Roman"/>
                <w:sz w:val="24"/>
              </w:rPr>
              <w:fldChar w:fldCharType="begin"/>
            </w:r>
            <w:r w:rsidRPr="00D6134A">
              <w:rPr>
                <w:rFonts w:ascii="Times New Roman" w:eastAsia="Calibri" w:hAnsi="Times New Roman"/>
                <w:sz w:val="24"/>
              </w:rPr>
              <w:instrText>HYPERLINK "../../../AppData/Local/Microsoft/Windows/AppData/Local/Microsoft/Windows/Temporary Internet Files/pjua/AppData/Local/Microsoft/Windows/Temporary Internet Files/Content.Outlook/AppData/Local/Microsoft/Windows/Temporary Internet Files/Content.Outlook/PFAZZMB0/лимит.xlsx" \l "RANGE!D16"</w:instrText>
            </w:r>
            <w:r w:rsidRPr="00D6134A">
              <w:rPr>
                <w:rFonts w:ascii="Times New Roman" w:eastAsia="Calibri" w:hAnsi="Times New Roman"/>
                <w:sz w:val="24"/>
              </w:rPr>
            </w:r>
            <w:r w:rsidRPr="00D6134A">
              <w:rPr>
                <w:rFonts w:ascii="Times New Roman" w:eastAsia="Calibri" w:hAnsi="Times New Roman"/>
                <w:sz w:val="24"/>
              </w:rPr>
              <w:fldChar w:fldCharType="separate"/>
            </w:r>
            <w:r w:rsidRPr="00D6134A">
              <w:rPr>
                <w:rStyle w:val="a3"/>
                <w:rFonts w:ascii="Times New Roman" w:eastAsia="Calibri" w:hAnsi="Times New Roman"/>
                <w:color w:val="auto"/>
                <w:sz w:val="24"/>
                <w:u w:val="none"/>
              </w:rPr>
              <w:t xml:space="preserve">Переводы в валюте Российской Федерации на счета других клиентов – физических[1] и юридических лиц, открытые в Банке и в других кредитных организациях, в </w:t>
            </w:r>
            <w:proofErr w:type="spellStart"/>
            <w:r w:rsidRPr="00D6134A">
              <w:rPr>
                <w:rStyle w:val="a3"/>
                <w:rFonts w:ascii="Times New Roman" w:eastAsia="Calibri" w:hAnsi="Times New Roman"/>
                <w:color w:val="auto"/>
                <w:sz w:val="24"/>
                <w:u w:val="none"/>
              </w:rPr>
              <w:t>т.ч</w:t>
            </w:r>
            <w:proofErr w:type="spellEnd"/>
            <w:r w:rsidRPr="00D6134A">
              <w:rPr>
                <w:rStyle w:val="a3"/>
                <w:rFonts w:ascii="Times New Roman" w:eastAsia="Calibri" w:hAnsi="Times New Roman"/>
                <w:color w:val="auto"/>
                <w:sz w:val="24"/>
                <w:u w:val="none"/>
              </w:rPr>
              <w:t>. в режиме «Оплата услуг» (за исключением п.1.3.)</w:t>
            </w:r>
            <w:r w:rsidRPr="00D6134A">
              <w:rPr>
                <w:rFonts w:ascii="Times New Roman" w:eastAsia="Calibri" w:hAnsi="Times New Roman"/>
                <w:sz w:val="24"/>
              </w:rPr>
              <w:fldChar w:fldCharType="end"/>
            </w:r>
            <w:bookmarkEnd w:id="3"/>
          </w:p>
        </w:tc>
        <w:tc>
          <w:tcPr>
            <w:tcW w:w="1804" w:type="dxa"/>
            <w:vMerge/>
            <w:shd w:val="clear" w:color="auto" w:fill="auto"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02" w:type="dxa"/>
            <w:shd w:val="clear" w:color="auto" w:fill="auto"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D6134A">
              <w:rPr>
                <w:rFonts w:ascii="Times New Roman" w:eastAsia="Calibri" w:hAnsi="Times New Roman"/>
                <w:sz w:val="24"/>
              </w:rPr>
              <w:t>100 000</w:t>
            </w:r>
          </w:p>
        </w:tc>
        <w:bookmarkStart w:id="4" w:name="_GoBack"/>
        <w:bookmarkEnd w:id="4"/>
      </w:tr>
      <w:tr w:rsidR="00D6134A" w:rsidRPr="00D6134A" w:rsidTr="005D77C9">
        <w:trPr>
          <w:trHeight w:val="960"/>
        </w:trPr>
        <w:tc>
          <w:tcPr>
            <w:tcW w:w="695" w:type="dxa"/>
            <w:vMerge w:val="restart"/>
            <w:shd w:val="clear" w:color="auto" w:fill="auto"/>
            <w:hideMark/>
          </w:tcPr>
          <w:p w:rsidR="00D6134A" w:rsidRPr="00295AF0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295AF0">
              <w:rPr>
                <w:rFonts w:ascii="Times New Roman" w:eastAsia="Calibri" w:hAnsi="Times New Roman"/>
                <w:sz w:val="24"/>
              </w:rPr>
              <w:t>1.3.</w:t>
            </w:r>
          </w:p>
        </w:tc>
        <w:tc>
          <w:tcPr>
            <w:tcW w:w="4470" w:type="dxa"/>
            <w:shd w:val="clear" w:color="auto" w:fill="auto"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D6134A">
              <w:rPr>
                <w:rFonts w:ascii="Times New Roman" w:eastAsia="Calibri" w:hAnsi="Times New Roman"/>
                <w:sz w:val="24"/>
              </w:rPr>
              <w:t>Платежи в адрес получателей: Билайн, Мегафон, МТС, Теле 2, иных операторов сотовой связи;</w:t>
            </w:r>
          </w:p>
        </w:tc>
        <w:tc>
          <w:tcPr>
            <w:tcW w:w="1804" w:type="dxa"/>
            <w:vMerge/>
            <w:shd w:val="clear" w:color="auto" w:fill="auto"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02" w:type="dxa"/>
            <w:vMerge w:val="restart"/>
            <w:shd w:val="clear" w:color="auto" w:fill="auto"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D6134A">
              <w:rPr>
                <w:rFonts w:ascii="Times New Roman" w:eastAsia="Calibri" w:hAnsi="Times New Roman"/>
                <w:sz w:val="24"/>
              </w:rPr>
              <w:t>15 000</w:t>
            </w:r>
          </w:p>
        </w:tc>
      </w:tr>
      <w:tr w:rsidR="00D6134A" w:rsidRPr="00D6134A" w:rsidTr="005D77C9">
        <w:trPr>
          <w:trHeight w:val="915"/>
        </w:trPr>
        <w:tc>
          <w:tcPr>
            <w:tcW w:w="695" w:type="dxa"/>
            <w:vMerge/>
            <w:shd w:val="clear" w:color="auto" w:fill="auto"/>
            <w:hideMark/>
          </w:tcPr>
          <w:p w:rsidR="00D6134A" w:rsidRPr="00295AF0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470" w:type="dxa"/>
            <w:shd w:val="clear" w:color="auto" w:fill="auto"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D6134A">
              <w:rPr>
                <w:rFonts w:ascii="Times New Roman" w:eastAsia="Calibri" w:hAnsi="Times New Roman"/>
                <w:sz w:val="24"/>
              </w:rPr>
              <w:t>Яндекс.Деньги</w:t>
            </w:r>
            <w:proofErr w:type="spellEnd"/>
            <w:r w:rsidRPr="00D6134A">
              <w:rPr>
                <w:rFonts w:ascii="Times New Roman" w:eastAsia="Calibri" w:hAnsi="Times New Roman"/>
                <w:sz w:val="24"/>
              </w:rPr>
              <w:t xml:space="preserve">, QIWI, RAPIDA, </w:t>
            </w:r>
            <w:proofErr w:type="spellStart"/>
            <w:r w:rsidRPr="00D6134A">
              <w:rPr>
                <w:rFonts w:ascii="Times New Roman" w:eastAsia="Calibri" w:hAnsi="Times New Roman"/>
                <w:sz w:val="24"/>
              </w:rPr>
              <w:t>WebMoney</w:t>
            </w:r>
            <w:proofErr w:type="spellEnd"/>
            <w:r w:rsidRPr="00D6134A">
              <w:rPr>
                <w:rFonts w:ascii="Times New Roman" w:eastAsia="Calibri" w:hAnsi="Times New Roman"/>
                <w:sz w:val="24"/>
              </w:rPr>
              <w:t>, оплата любых электронных кошельков</w:t>
            </w:r>
          </w:p>
        </w:tc>
        <w:tc>
          <w:tcPr>
            <w:tcW w:w="1804" w:type="dxa"/>
            <w:vMerge/>
            <w:shd w:val="clear" w:color="auto" w:fill="auto"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02" w:type="dxa"/>
            <w:vMerge/>
            <w:shd w:val="clear" w:color="auto" w:fill="auto"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</w:tc>
      </w:tr>
      <w:tr w:rsidR="00D6134A" w:rsidRPr="00D6134A" w:rsidTr="005D77C9">
        <w:trPr>
          <w:trHeight w:val="915"/>
        </w:trPr>
        <w:tc>
          <w:tcPr>
            <w:tcW w:w="695" w:type="dxa"/>
            <w:vMerge/>
            <w:shd w:val="clear" w:color="auto" w:fill="auto"/>
          </w:tcPr>
          <w:p w:rsidR="00D6134A" w:rsidRPr="00295AF0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470" w:type="dxa"/>
            <w:shd w:val="clear" w:color="auto" w:fill="auto"/>
          </w:tcPr>
          <w:p w:rsidR="00D6134A" w:rsidRPr="00D6134A" w:rsidRDefault="00D6134A" w:rsidP="005D77C9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eastAsia="Calibri" w:hAnsi="Times New Roman"/>
                <w:sz w:val="24"/>
              </w:rPr>
            </w:pPr>
            <w:r w:rsidRPr="00D6134A">
              <w:rPr>
                <w:rFonts w:ascii="Times New Roman" w:eastAsia="Calibri" w:hAnsi="Times New Roman"/>
                <w:bCs/>
                <w:sz w:val="24"/>
                <w:lang w:eastAsia="en-US"/>
              </w:rPr>
              <w:t>Перевод денежных средств с банковской карты Банка на банковскую карту любого российского банка (услуга «</w:t>
            </w:r>
            <w:r w:rsidRPr="00D6134A">
              <w:rPr>
                <w:rFonts w:ascii="Times New Roman" w:eastAsia="Calibri" w:hAnsi="Times New Roman"/>
                <w:bCs/>
                <w:sz w:val="24"/>
                <w:lang w:val="en-US" w:eastAsia="en-US"/>
              </w:rPr>
              <w:t>Card</w:t>
            </w:r>
            <w:r w:rsidRPr="00D6134A">
              <w:rPr>
                <w:rFonts w:ascii="Times New Roman" w:eastAsia="Calibri" w:hAnsi="Times New Roman"/>
                <w:bCs/>
                <w:sz w:val="24"/>
                <w:lang w:eastAsia="en-US"/>
              </w:rPr>
              <w:t>2</w:t>
            </w:r>
            <w:r w:rsidRPr="00D6134A">
              <w:rPr>
                <w:rFonts w:ascii="Times New Roman" w:eastAsia="Calibri" w:hAnsi="Times New Roman"/>
                <w:bCs/>
                <w:sz w:val="24"/>
                <w:lang w:val="en-US" w:eastAsia="en-US"/>
              </w:rPr>
              <w:t>Card</w:t>
            </w:r>
            <w:r w:rsidRPr="00D6134A">
              <w:rPr>
                <w:rFonts w:ascii="Times New Roman" w:eastAsia="Calibri" w:hAnsi="Times New Roman"/>
                <w:bCs/>
                <w:sz w:val="24"/>
                <w:lang w:eastAsia="en-US"/>
              </w:rPr>
              <w:t>»)</w:t>
            </w:r>
            <w:r w:rsidRPr="00D6134A">
              <w:t xml:space="preserve"> </w:t>
            </w:r>
            <w:r w:rsidRPr="00D6134A">
              <w:rPr>
                <w:rFonts w:ascii="Times New Roman" w:eastAsia="Calibri" w:hAnsi="Times New Roman"/>
                <w:bCs/>
                <w:sz w:val="24"/>
                <w:lang w:eastAsia="en-US"/>
              </w:rPr>
              <w:t>[2]</w:t>
            </w:r>
          </w:p>
        </w:tc>
        <w:tc>
          <w:tcPr>
            <w:tcW w:w="1804" w:type="dxa"/>
            <w:vMerge/>
            <w:shd w:val="clear" w:color="auto" w:fill="auto"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</w:tc>
      </w:tr>
      <w:tr w:rsidR="00D6134A" w:rsidRPr="00D6134A" w:rsidTr="005D77C9">
        <w:trPr>
          <w:trHeight w:val="1695"/>
        </w:trPr>
        <w:tc>
          <w:tcPr>
            <w:tcW w:w="695" w:type="dxa"/>
            <w:shd w:val="clear" w:color="auto" w:fill="auto"/>
            <w:hideMark/>
          </w:tcPr>
          <w:p w:rsidR="00D6134A" w:rsidRPr="00295AF0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295AF0">
              <w:rPr>
                <w:rFonts w:ascii="Times New Roman" w:eastAsia="Calibri" w:hAnsi="Times New Roman"/>
                <w:sz w:val="24"/>
              </w:rPr>
              <w:t>1.4.</w:t>
            </w:r>
          </w:p>
        </w:tc>
        <w:bookmarkStart w:id="5" w:name="RANGE!E13"/>
        <w:tc>
          <w:tcPr>
            <w:tcW w:w="4470" w:type="dxa"/>
            <w:shd w:val="clear" w:color="auto" w:fill="auto"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D6134A">
              <w:rPr>
                <w:rFonts w:ascii="Times New Roman" w:eastAsia="Calibri" w:hAnsi="Times New Roman"/>
                <w:sz w:val="24"/>
              </w:rPr>
              <w:fldChar w:fldCharType="begin"/>
            </w:r>
            <w:r w:rsidRPr="00D6134A">
              <w:rPr>
                <w:rFonts w:ascii="Times New Roman" w:eastAsia="Calibri" w:hAnsi="Times New Roman"/>
                <w:sz w:val="24"/>
              </w:rPr>
              <w:instrText>HYPERLINK "../../../AppData/Local/Microsoft/Windows/AppData/Local/Microsoft/Windows/Temporary Internet Files/pjua/AppData/Local/Microsoft/Windows/Temporary Internet Files/Content.Outlook/AppData/Local/Microsoft/Windows/Temporary Internet Files/Content.Outlook/PFAZZMB0/лимит.xlsx" \l "RANGE!D17"</w:instrText>
            </w:r>
            <w:r w:rsidRPr="00D6134A">
              <w:rPr>
                <w:rFonts w:ascii="Times New Roman" w:eastAsia="Calibri" w:hAnsi="Times New Roman"/>
                <w:sz w:val="24"/>
              </w:rPr>
            </w:r>
            <w:r w:rsidRPr="00D6134A">
              <w:rPr>
                <w:rFonts w:ascii="Times New Roman" w:eastAsia="Calibri" w:hAnsi="Times New Roman"/>
                <w:sz w:val="24"/>
              </w:rPr>
              <w:fldChar w:fldCharType="separate"/>
            </w:r>
            <w:r w:rsidRPr="00D6134A">
              <w:rPr>
                <w:rStyle w:val="a3"/>
                <w:rFonts w:ascii="Times New Roman" w:eastAsia="Calibri" w:hAnsi="Times New Roman"/>
                <w:color w:val="auto"/>
                <w:sz w:val="24"/>
                <w:u w:val="none"/>
              </w:rPr>
              <w:t>Внутрибанковские переводы на свои счета (в случае, если счет списания и счет зачисления открыты в разных валютах (безналичная конверсия</w:t>
            </w:r>
            <w:proofErr w:type="gramStart"/>
            <w:r w:rsidRPr="00D6134A">
              <w:rPr>
                <w:rStyle w:val="a3"/>
                <w:rFonts w:ascii="Times New Roman" w:eastAsia="Calibri" w:hAnsi="Times New Roman"/>
                <w:color w:val="auto"/>
                <w:sz w:val="24"/>
                <w:u w:val="none"/>
              </w:rPr>
              <w:t>))[</w:t>
            </w:r>
            <w:proofErr w:type="gramEnd"/>
            <w:r w:rsidRPr="00D6134A">
              <w:rPr>
                <w:rStyle w:val="a3"/>
                <w:rFonts w:ascii="Times New Roman" w:eastAsia="Calibri" w:hAnsi="Times New Roman"/>
                <w:color w:val="auto"/>
                <w:sz w:val="24"/>
                <w:u w:val="none"/>
              </w:rPr>
              <w:t>3]</w:t>
            </w:r>
            <w:r w:rsidRPr="00D6134A">
              <w:rPr>
                <w:rFonts w:ascii="Times New Roman" w:eastAsia="Calibri" w:hAnsi="Times New Roman"/>
                <w:sz w:val="24"/>
              </w:rPr>
              <w:fldChar w:fldCharType="end"/>
            </w:r>
            <w:bookmarkEnd w:id="5"/>
          </w:p>
        </w:tc>
        <w:tc>
          <w:tcPr>
            <w:tcW w:w="1804" w:type="dxa"/>
            <w:vMerge/>
            <w:shd w:val="clear" w:color="auto" w:fill="auto"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02" w:type="dxa"/>
            <w:shd w:val="clear" w:color="auto" w:fill="auto"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D6134A">
              <w:rPr>
                <w:rFonts w:ascii="Times New Roman" w:eastAsia="Calibri" w:hAnsi="Times New Roman"/>
                <w:sz w:val="24"/>
              </w:rPr>
              <w:t>600 000</w:t>
            </w:r>
          </w:p>
        </w:tc>
      </w:tr>
      <w:bookmarkStart w:id="6" w:name="RANGE!D16"/>
      <w:tr w:rsidR="00D6134A" w:rsidRPr="00D6134A" w:rsidTr="005D77C9">
        <w:trPr>
          <w:trHeight w:val="300"/>
        </w:trPr>
        <w:tc>
          <w:tcPr>
            <w:tcW w:w="9571" w:type="dxa"/>
            <w:gridSpan w:val="4"/>
            <w:shd w:val="clear" w:color="auto" w:fill="auto"/>
            <w:noWrap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D6134A">
              <w:rPr>
                <w:rFonts w:ascii="Times New Roman" w:eastAsia="Calibri" w:hAnsi="Times New Roman"/>
                <w:sz w:val="24"/>
              </w:rPr>
              <w:fldChar w:fldCharType="begin"/>
            </w:r>
            <w:r w:rsidRPr="00D6134A">
              <w:rPr>
                <w:rFonts w:ascii="Times New Roman" w:eastAsia="Calibri" w:hAnsi="Times New Roman"/>
                <w:sz w:val="24"/>
              </w:rPr>
              <w:instrText>HYPERLINK "../../../AppData/Local/Microsoft/Windows/AppData/Local/Microsoft/Windows/Temporary Internet Files/pjua/AppData/Local/Microsoft/Windows/Temporary Internet Files/Content.Outlook/AppData/Local/Microsoft/Windows/Temporary Internet Files/Content.Outlook/PFAZZMB0/лимит.xlsx" \l "RANGE!E10"</w:instrText>
            </w:r>
            <w:r w:rsidRPr="00D6134A">
              <w:rPr>
                <w:rFonts w:ascii="Times New Roman" w:eastAsia="Calibri" w:hAnsi="Times New Roman"/>
                <w:sz w:val="24"/>
              </w:rPr>
            </w:r>
            <w:r w:rsidRPr="00D6134A">
              <w:rPr>
                <w:rFonts w:ascii="Times New Roman" w:eastAsia="Calibri" w:hAnsi="Times New Roman"/>
                <w:sz w:val="24"/>
              </w:rPr>
              <w:fldChar w:fldCharType="separate"/>
            </w:r>
            <w:r w:rsidRPr="00D6134A">
              <w:rPr>
                <w:rStyle w:val="a3"/>
                <w:rFonts w:ascii="Times New Roman" w:eastAsia="Calibri" w:hAnsi="Times New Roman"/>
                <w:color w:val="auto"/>
                <w:sz w:val="24"/>
                <w:u w:val="none"/>
              </w:rPr>
              <w:t>[1] Переводы на счета Банковских карт осуществляются при условии указания лицевого счета Банковской карты и реквизитов Банка – эмитента.</w:t>
            </w:r>
            <w:r w:rsidRPr="00D6134A">
              <w:rPr>
                <w:rFonts w:ascii="Times New Roman" w:eastAsia="Calibri" w:hAnsi="Times New Roman"/>
                <w:sz w:val="24"/>
              </w:rPr>
              <w:fldChar w:fldCharType="end"/>
            </w:r>
            <w:bookmarkEnd w:id="6"/>
          </w:p>
        </w:tc>
      </w:tr>
      <w:tr w:rsidR="00D6134A" w:rsidRPr="00D6134A" w:rsidTr="005D77C9">
        <w:trPr>
          <w:trHeight w:val="70"/>
        </w:trPr>
        <w:tc>
          <w:tcPr>
            <w:tcW w:w="9571" w:type="dxa"/>
            <w:gridSpan w:val="4"/>
            <w:shd w:val="clear" w:color="auto" w:fill="auto"/>
            <w:noWrap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D6134A">
              <w:rPr>
                <w:rFonts w:ascii="Times New Roman" w:eastAsia="Calibri" w:hAnsi="Times New Roman"/>
                <w:sz w:val="24"/>
              </w:rPr>
              <w:t>[2] Переводы осуществляются при условии указания номера Банковской карты физического лица – получателя перевода.</w:t>
            </w:r>
          </w:p>
        </w:tc>
      </w:tr>
      <w:bookmarkStart w:id="7" w:name="RANGE!D17"/>
      <w:tr w:rsidR="00D6134A" w:rsidRPr="00D6134A" w:rsidTr="005D77C9">
        <w:trPr>
          <w:trHeight w:val="300"/>
        </w:trPr>
        <w:tc>
          <w:tcPr>
            <w:tcW w:w="9571" w:type="dxa"/>
            <w:gridSpan w:val="4"/>
            <w:shd w:val="clear" w:color="auto" w:fill="auto"/>
            <w:noWrap/>
            <w:hideMark/>
          </w:tcPr>
          <w:p w:rsidR="00D6134A" w:rsidRPr="00D6134A" w:rsidRDefault="00D6134A" w:rsidP="005D77C9">
            <w:pPr>
              <w:spacing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D6134A">
              <w:rPr>
                <w:rFonts w:ascii="Times New Roman" w:eastAsia="Calibri" w:hAnsi="Times New Roman"/>
                <w:sz w:val="24"/>
              </w:rPr>
              <w:fldChar w:fldCharType="begin"/>
            </w:r>
            <w:r w:rsidRPr="00D6134A">
              <w:rPr>
                <w:rFonts w:ascii="Times New Roman" w:eastAsia="Calibri" w:hAnsi="Times New Roman"/>
                <w:sz w:val="24"/>
              </w:rPr>
              <w:instrText>HYPERLINK "../../../AppData/Local/Microsoft/Windows/AppData/Local/Microsoft/Windows/Temporary Internet Files/pjua/AppData/Local/Microsoft/Windows/Temporary Internet Files/Content.Outlook/AppData/Local/Microsoft/Windows/Temporary Internet Files/Content.Outlook/PFAZZMB0/лимит.xlsx" \l "RANGE!E13"</w:instrText>
            </w:r>
            <w:r w:rsidRPr="00D6134A">
              <w:rPr>
                <w:rFonts w:ascii="Times New Roman" w:eastAsia="Calibri" w:hAnsi="Times New Roman"/>
                <w:sz w:val="24"/>
              </w:rPr>
            </w:r>
            <w:r w:rsidRPr="00D6134A">
              <w:rPr>
                <w:rFonts w:ascii="Times New Roman" w:eastAsia="Calibri" w:hAnsi="Times New Roman"/>
                <w:sz w:val="24"/>
              </w:rPr>
              <w:fldChar w:fldCharType="separate"/>
            </w:r>
            <w:r w:rsidRPr="00D6134A">
              <w:rPr>
                <w:rStyle w:val="a3"/>
                <w:rFonts w:ascii="Times New Roman" w:eastAsia="Calibri" w:hAnsi="Times New Roman"/>
                <w:color w:val="auto"/>
                <w:sz w:val="24"/>
                <w:u w:val="none"/>
              </w:rPr>
              <w:t>[3] Услуга предоставляется с понедельника по пятницу с 9 часов 00 минут до 16 часов 00 минут МСК</w:t>
            </w:r>
            <w:r w:rsidRPr="00D6134A">
              <w:rPr>
                <w:rFonts w:ascii="Times New Roman" w:eastAsia="Calibri" w:hAnsi="Times New Roman"/>
                <w:sz w:val="24"/>
              </w:rPr>
              <w:fldChar w:fldCharType="end"/>
            </w:r>
            <w:bookmarkEnd w:id="7"/>
          </w:p>
        </w:tc>
      </w:tr>
    </w:tbl>
    <w:p w:rsidR="00D84F33" w:rsidRDefault="00D84F33"/>
    <w:sectPr w:rsidR="00D8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53"/>
    <w:rsid w:val="00D6134A"/>
    <w:rsid w:val="00D84F33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633EB-5781-4D24-AB6B-B8BAA4F4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4A"/>
    <w:pPr>
      <w:tabs>
        <w:tab w:val="left" w:pos="708"/>
      </w:tabs>
      <w:suppressAutoHyphens/>
      <w:spacing w:after="0" w:line="100" w:lineRule="atLeast"/>
    </w:pPr>
    <w:rPr>
      <w:rFonts w:ascii="Myriad Pro" w:eastAsia="Times New Roman" w:hAnsi="Myriad Pro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34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34A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styleId="a3">
    <w:name w:val="Hyperlink"/>
    <w:uiPriority w:val="99"/>
    <w:unhideWhenUsed/>
    <w:rsid w:val="00D61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Кулыгин Алексей Валериевич</dc:creator>
  <cp:keywords/>
  <dc:description/>
  <cp:lastModifiedBy>Кулыгин Алексей Валериевич</cp:lastModifiedBy>
  <cp:revision>2</cp:revision>
  <dcterms:created xsi:type="dcterms:W3CDTF">2016-10-21T06:41:00Z</dcterms:created>
  <dcterms:modified xsi:type="dcterms:W3CDTF">2016-10-21T06:42:00Z</dcterms:modified>
</cp:coreProperties>
</file>